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Captain Sparkles Daily Paper Betting Report</w:t>
      </w:r>
    </w:p>
    <w:p>
      <w:pPr>
        <w:jc w:val="center"/>
      </w:pPr>
      <w:r>
        <w:rPr>
          <w:b/>
        </w:rPr>
        <w:t>September 28, 2026</w:t>
      </w:r>
    </w:p>
    <w:p>
      <w:r>
        <w:t>Paper-betting experiment only. Every position uses a fixed 10 units risk. No wager is placed and no result is guaranteed.</w:t>
      </w:r>
    </w:p>
    <w:p>
      <w:pPr>
        <w:pStyle w:val="Heading1"/>
      </w:pPr>
      <w:r>
        <w:t>Executive Summary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Win rate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Settled risk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Profit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ROI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Sep 27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Pending</w:t>
            </w:r>
          </w:p>
        </w:tc>
        <w:tc>
          <w:tcPr>
            <w:tcW w:type="dxa" w:w="1332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Strategy</w:t>
            </w:r>
          </w:p>
        </w:tc>
      </w:tr>
      <w:tr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17-13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56.7%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300 units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+43.49 units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+14.5%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6-4, +19.07 units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2 / 20 units</w:t>
            </w:r>
          </w:p>
        </w:tc>
        <w:tc>
          <w:tcPr>
            <w:tcW w:type="dxa" w:w="1332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v1.0</w:t>
            </w:r>
          </w:p>
        </w:tc>
      </w:tr>
    </w:tbl>
    <w:p>
      <w:r>
        <w:t>Sunday recovered part of Saturday’s drawdown, but 30 bets over three calendar days remain an insufficient sample. Peak-to-current drawdown is 22.80 units; maximum historical drawdown is 41.87 units. Today has only one eligible major event, so the card contains two correlated positions rather than forced bets.</w:t>
      </w:r>
    </w:p>
    <w:p>
      <w:pPr>
        <w:pStyle w:val="Heading1"/>
      </w:pPr>
      <w:r>
        <w:t>September 27 Results — Pick Then Post-Pick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Browns +2.5 vs Panthers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-110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Browns 21-18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WIN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+9.09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Good decision. Cleveland won outright; spread protection was appropriate. Effect: No change; retain selective short underdogs.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Steelers +3.5 vs Bengals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-110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Steelers 30-27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WIN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+9.09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Good decision. The hook above three protected a key-number game. Effect: Retain key-number discipline.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Patriots +2.5 vs Jaguars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-104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Jaguars 35-6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LOSS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-10.00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Flawed probability and matchup estimate; New England’s offensive floor was far below the forecast. Effect: Flag underdogs with severe offensive-floor risk.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Dolphins +10.5 vs Chiefs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-110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Chiefs 24-10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LOSS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-10.00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Matchup error. The double-digit cushion was insufficient against Kansas City’s scoring ceiling. Effect: Stress-test favorite ceiling before taking double digits.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Colts ML vs Texans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+105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Colts 19-17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WIN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+10.50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Good decision, but a two-point finish contains favorable variance. Effect: Keep modest plus-money value; do not upgrade from one close win.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Seahawks–Commanders under 40.5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-110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Commanders 33-31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LOSS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-10.00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Matchup/tempo error. The total missed by 23.5 points, indicating an explosive-play risk failure. Effect: Require an explicit explosive-play check for totals.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Buccaneers ML vs Vikings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+104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Vikings 23-16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LOSS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-10.00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Probability/matchup error; Tampa Bay never justified a greater-than-market win estimate. Effect: Demand stronger evidence for near-even underdog moneylines.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Cowboys +3.5 vs Ravens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-110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Ravens 34-31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WIN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+9.09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Good price, with favorable variance: Dallas covered by half a point. Effect: Retain hooks above three; separate price quality from outcome luck.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Raiders +3 vs Saints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+102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Raiders 35-27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WIN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+10.20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Good decision. Positive odds plus points produced both price and outcome value. Effect: Retain positive-price spreads when model edge is meaningful.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Pick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Odds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Final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Grade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P/L</w:t>
            </w:r>
          </w:p>
        </w:tc>
        <w:tc>
          <w:tcPr>
            <w:tcW w:type="dxa" w:w="1776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Status</w:t>
            </w:r>
          </w:p>
        </w:tc>
      </w:tr>
      <w:tr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Broncos ML vs Rams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+111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Broncos 30-26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WIN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+11.10 units</w:t>
            </w:r>
          </w:p>
        </w:tc>
        <w:tc>
          <w:tcPr>
            <w:tcW w:type="dxa" w:w="1776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Settled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Post-pick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Good decision, though a four-point finish includes ordinary favorable variance. Effect: No rule change from a close plus-money win.</w:t>
            </w:r>
          </w:p>
        </w:tc>
      </w:tr>
    </w:tbl>
    <w:p>
      <w:pPr>
        <w:spacing w:after="40"/>
      </w:pPr>
    </w:p>
    <w:p>
      <w:pPr>
        <w:pStyle w:val="Heading1"/>
      </w:pPr>
      <w:r>
        <w:t>Improvement Trend Scorecard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2131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Metric</w:t>
            </w:r>
          </w:p>
        </w:tc>
        <w:tc>
          <w:tcPr>
            <w:tcW w:type="dxa" w:w="2131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Current 7-day</w:t>
            </w:r>
          </w:p>
        </w:tc>
        <w:tc>
          <w:tcPr>
            <w:tcW w:type="dxa" w:w="2131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Prior 7-day</w:t>
            </w:r>
          </w:p>
        </w:tc>
        <w:tc>
          <w:tcPr>
            <w:tcW w:type="dxa" w:w="2131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Current 10-day</w:t>
            </w:r>
          </w:p>
        </w:tc>
        <w:tc>
          <w:tcPr>
            <w:tcW w:type="dxa" w:w="2131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6"/>
              </w:rPr>
              <w:t>Direction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Settled bets / win rate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30 / 56.7%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30 / 56.7%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Insufficient sample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Profit / ROI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+43.49 units / 14.5%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+43.49 units / 14.5%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Flat—unconfirmed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Avg expected edge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 full window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 full window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Insufficient data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Avg closing-line value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Not captured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Not captured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Insufficient data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Calibration error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Brier 0.249 on Sep 27 only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Same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Insufficient sample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Maximum drawdown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41.87 units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41.87 units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Insufficient sample</w:t>
            </w:r>
          </w:p>
        </w:tc>
      </w:tr>
      <w:tr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Process signal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Totals/underdog flags identified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N/A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Same</w:t>
            </w:r>
          </w:p>
        </w:tc>
        <w:tc>
          <w:tcPr>
            <w:tcW w:type="dxa" w:w="2131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Improving, unconfirmed</w:t>
            </w:r>
          </w:p>
        </w:tc>
      </w:tr>
    </w:tbl>
    <w:p>
      <w:r>
        <w:t>Process versus variance: the pricing process found value on several key-number spreads, but the Colts, Cowboys and Broncos wins also benefited from close-score variance. That is not yet evidence of a durable forecasting edge.</w:t>
      </w:r>
    </w:p>
    <w:p>
      <w:pPr>
        <w:pStyle w:val="Heading1"/>
      </w:pPr>
      <w:r>
        <w:t>Strategy Decision</w:t>
      </w:r>
    </w:p>
    <w:p>
      <w:r>
        <w:t>Formal strategy remains v1.0. No material reweighting is justified at 30 settled bets. Two process flags are added for future scoring: (1) underdogs must pass an offensive-floor screen, and (2) totals must include an explicit explosive-play-risk check. These are review flags, not retrospective changes to locked picks.</w:t>
      </w:r>
    </w:p>
    <w:p>
      <w:pPr>
        <w:pStyle w:val="Heading1"/>
      </w:pPr>
      <w:r>
        <w:t>September 28 Card — Pick Then Pre-Pick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Pick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Source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Odds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Start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Est P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Break-even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Edge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Tier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10 units profit</w:t>
            </w:r>
          </w:p>
        </w:tc>
      </w:tr>
      <w:tr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Eagles -4.5 at Bears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FanDuel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-106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8:15 PM ET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55.5%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51.5%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+4.0 pp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Medium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+9.43 units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Pre-pick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Chicago QB Caleb Williams is out. Philadelphia’s team-strength edge and Chicago’s reduced offensive ceiling support the road favorite. Portfolio effect: One of two correlated positions; a low Chicago score helps both.</w:t>
            </w:r>
          </w:p>
        </w:tc>
      </w:tr>
    </w:tbl>
    <w:p>
      <w:pPr>
        <w:spacing w:after="6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84"/>
        <w:gridCol w:w="1184"/>
        <w:gridCol w:w="1184"/>
        <w:gridCol w:w="1184"/>
        <w:gridCol w:w="1184"/>
        <w:gridCol w:w="1184"/>
        <w:gridCol w:w="1184"/>
        <w:gridCol w:w="1184"/>
        <w:gridCol w:w="1184"/>
      </w:tblGrid>
      <w:tr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Pick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Source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Odds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Start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Est P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Break-even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Edge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Tier</w:t>
            </w:r>
          </w:p>
        </w:tc>
        <w:tc>
          <w:tcPr>
            <w:tcW w:type="dxa" w:w="1184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color w:val="FFFFFF"/>
                <w:sz w:val="14"/>
              </w:rPr>
              <w:t>10 units profit</w:t>
            </w:r>
          </w:p>
        </w:tc>
      </w:tr>
      <w:tr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Eagles–Bears under 41.5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FanDuel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-110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8:15 PM ET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55.0%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52.4%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4"/>
              </w:rPr>
              <w:t>+2.6 pp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Medium</w:t>
            </w:r>
          </w:p>
        </w:tc>
        <w:tc>
          <w:tcPr>
            <w:tcW w:type="dxa" w:w="1184"/>
            <w:vAlign w:val="center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4"/>
              </w:rPr>
              <w:t>+9.09 units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/>
                <w:sz w:val="16"/>
              </w:rPr>
              <w:t>Pre-pick analysis</w:t>
            </w:r>
          </w:p>
        </w:tc>
        <w:tc>
          <w:tcPr>
            <w:tcW w:type="dxa" w:w="5328"/>
            <w:vAlign w:val="center"/>
            <w:shd w:fill="1F4E78"/>
          </w:tcPr>
          <w:p>
            <w:r>
              <w:rPr>
                <w:rFonts w:ascii="Arial" w:hAnsi="Arial"/>
              </w:rPr>
            </w:r>
            <w:r>
              <w:rPr>
                <w:rFonts w:ascii="Arial" w:hAnsi="Arial"/>
                <w:b w:val="0"/>
                <w:sz w:val="16"/>
              </w:rPr>
              <w:t>Chicago’s backup-QB environment lowers its scoring projection; 41.5 still leaves some protection against a one-sided Philadelphia win. Portfolio effect: Correlated with Eagles -4.5; cap exposure at two 10 units risks.</w:t>
            </w:r>
          </w:p>
        </w:tc>
      </w:tr>
    </w:tbl>
    <w:p>
      <w:pPr>
        <w:spacing w:after="60"/>
      </w:pPr>
    </w:p>
    <w:p>
      <w:r>
        <w:t>Shortfall explanation: no WNBA game is scheduled, the MLB regular-season slate is complete, and the verified major-sport board presents only Eagles–Bears. We will not invent markets or use excluded leagues merely to reach ten picks.</w:t>
      </w:r>
    </w:p>
    <w:p>
      <w:pPr>
        <w:pStyle w:val="Heading1"/>
      </w:pPr>
      <w:r>
        <w:t>Audit Notes</w:t>
      </w:r>
    </w:p>
    <w:p>
      <w:r>
        <w:t>Locked odds will be used for grading: Eagles -4.5 at -106 and under 41.5 at -110. Potential profit is 9.43 units and 9.09 units respectively; a loss is -10 units and a push is 0 units. Closing-line value will be added only if a trustworthy closing snapshot is captured.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