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Captain Sparkles Daily Paper Betting Report</w:t>
      </w:r>
    </w:p>
    <w:p>
      <w:pPr>
        <w:jc w:val="center"/>
      </w:pPr>
      <w:r>
        <w:rPr>
          <w:b/>
          <w:sz w:val="24"/>
        </w:rPr>
        <w:t>September 27 2026</w:t>
      </w:r>
    </w:p>
    <w:p>
      <w:r>
        <w:t>This report records the official paper-betting experiment, grades each completed selection at its locked odds, and documents what the result should and should not change in the selection algorithm. Today's wagers are hypothetical 10 units risk positions; no wagers were placed.</w:t>
      </w:r>
    </w:p>
    <w:p>
      <w:pPr>
        <w:pStyle w:val="Heading1"/>
      </w:pPr>
      <w:r>
        <w:t>Executive Summary</w:t>
      </w:r>
    </w:p>
    <w:tbl>
      <w:tblPr>
        <w:tblStyle w:val="TableGrid"/>
        <w:tblW w:type="auto" w:w="0"/>
        <w:jc w:val="center"/>
        <w:tblLayout w:type="fixed"/>
        <w:tblLook w:firstColumn="1" w:firstRow="1" w:lastColumn="0" w:lastRow="0" w:noHBand="0" w:noVBand="1" w:val="04A0"/>
      </w:tblPr>
      <w:tblGrid>
        <w:gridCol w:w="1332"/>
        <w:gridCol w:w="1332"/>
        <w:gridCol w:w="1332"/>
        <w:gridCol w:w="1332"/>
        <w:gridCol w:w="1332"/>
        <w:gridCol w:w="1332"/>
        <w:gridCol w:w="1332"/>
        <w:gridCol w:w="1332"/>
      </w:tblGrid>
      <w:tr>
        <w:tc>
          <w:tcPr>
            <w:tcW w:type="dxa" w:w="2448"/>
            <w:vAlign w:val="center"/>
            <w:shd w:fill="1F4E78"/>
            <w:tcMar>
              <w:top w:w="80" w:type="dxa"/>
              <w:left w:w="80" w:type="dxa"/>
              <w:bottom w:w="80" w:type="dxa"/>
              <w:right w:w="80" w:type="dxa"/>
            </w:tcMar>
          </w:tcPr>
          <w:p>
            <w:pPr>
              <w:jc w:val="center"/>
            </w:pPr>
            <w:r>
              <w:rPr>
                <w:b/>
                <w:color w:val="FFFFFF"/>
              </w:rPr>
            </w:r>
            <w:r>
              <w:rPr>
                <w:rFonts w:ascii="Arial" w:hAnsi="Arial"/>
                <w:b/>
                <w:color w:val="FFFFFF"/>
                <w:sz w:val="16"/>
              </w:rPr>
              <w:t>Settled Record</w:t>
            </w:r>
          </w:p>
        </w:tc>
        <w:tc>
          <w:tcPr>
            <w:tcW w:type="dxa" w:w="1296"/>
            <w:vAlign w:val="center"/>
            <w:shd w:fill="1F4E78"/>
            <w:tcMar>
              <w:top w:w="80" w:type="dxa"/>
              <w:left w:w="80" w:type="dxa"/>
              <w:bottom w:w="80" w:type="dxa"/>
              <w:right w:w="80" w:type="dxa"/>
            </w:tcMar>
          </w:tcPr>
          <w:p>
            <w:pPr>
              <w:jc w:val="center"/>
            </w:pPr>
            <w:r>
              <w:rPr>
                <w:b/>
                <w:color w:val="FFFFFF"/>
              </w:rPr>
            </w:r>
            <w:r>
              <w:rPr>
                <w:rFonts w:ascii="Arial" w:hAnsi="Arial"/>
                <w:b/>
                <w:color w:val="FFFFFF"/>
                <w:sz w:val="16"/>
              </w:rPr>
              <w:t>Win Rate</w:t>
            </w:r>
          </w:p>
        </w:tc>
        <w:tc>
          <w:tcPr>
            <w:tcW w:type="dxa" w:w="1800"/>
            <w:vAlign w:val="center"/>
            <w:shd w:fill="1F4E78"/>
            <w:tcMar>
              <w:top w:w="80" w:type="dxa"/>
              <w:left w:w="80" w:type="dxa"/>
              <w:bottom w:w="80" w:type="dxa"/>
              <w:right w:w="80" w:type="dxa"/>
            </w:tcMar>
          </w:tcPr>
          <w:p>
            <w:pPr>
              <w:jc w:val="center"/>
            </w:pPr>
            <w:r>
              <w:rPr>
                <w:b/>
                <w:color w:val="FFFFFF"/>
              </w:rPr>
            </w:r>
            <w:r>
              <w:rPr>
                <w:rFonts w:ascii="Arial" w:hAnsi="Arial"/>
                <w:b/>
                <w:color w:val="FFFFFF"/>
                <w:sz w:val="16"/>
              </w:rPr>
              <w:t>Risked</w:t>
            </w:r>
          </w:p>
        </w:tc>
        <w:tc>
          <w:tcPr>
            <w:tcW w:type="dxa" w:w="1152"/>
            <w:vAlign w:val="center"/>
            <w:shd w:fill="1F4E78"/>
            <w:tcMar>
              <w:top w:w="80" w:type="dxa"/>
              <w:left w:w="80" w:type="dxa"/>
              <w:bottom w:w="80" w:type="dxa"/>
              <w:right w:w="80" w:type="dxa"/>
            </w:tcMar>
          </w:tcPr>
          <w:p>
            <w:pPr>
              <w:jc w:val="center"/>
            </w:pPr>
            <w:r>
              <w:rPr>
                <w:b/>
                <w:color w:val="FFFFFF"/>
              </w:rPr>
            </w:r>
            <w:r>
              <w:rPr>
                <w:rFonts w:ascii="Arial" w:hAnsi="Arial"/>
                <w:b/>
                <w:color w:val="FFFFFF"/>
                <w:sz w:val="16"/>
              </w:rPr>
              <w:t>Profit</w:t>
            </w:r>
          </w:p>
        </w:tc>
        <w:tc>
          <w:tcPr>
            <w:tcW w:type="dxa" w:w="1800"/>
            <w:vAlign w:val="center"/>
            <w:shd w:fill="1F4E78"/>
            <w:tcMar>
              <w:top w:w="80" w:type="dxa"/>
              <w:left w:w="80" w:type="dxa"/>
              <w:bottom w:w="80" w:type="dxa"/>
              <w:right w:w="80" w:type="dxa"/>
            </w:tcMar>
          </w:tcPr>
          <w:p>
            <w:pPr>
              <w:jc w:val="center"/>
            </w:pPr>
            <w:r>
              <w:rPr>
                <w:b/>
                <w:color w:val="FFFFFF"/>
              </w:rPr>
            </w:r>
            <w:r>
              <w:rPr>
                <w:rFonts w:ascii="Arial" w:hAnsi="Arial"/>
                <w:b/>
                <w:color w:val="FFFFFF"/>
                <w:sz w:val="16"/>
              </w:rPr>
              <w:t>ROI</w:t>
            </w:r>
          </w:p>
        </w:tc>
        <w:tc>
          <w:tcPr>
            <w:tcW w:type="dxa" w:w="1152"/>
            <w:vAlign w:val="center"/>
            <w:shd w:fill="1F4E78"/>
            <w:tcMar>
              <w:top w:w="80" w:type="dxa"/>
              <w:left w:w="80" w:type="dxa"/>
              <w:bottom w:w="80" w:type="dxa"/>
              <w:right w:w="80" w:type="dxa"/>
            </w:tcMar>
          </w:tcPr>
          <w:p>
            <w:pPr>
              <w:jc w:val="center"/>
            </w:pPr>
            <w:r>
              <w:rPr>
                <w:b/>
                <w:color w:val="FFFFFF"/>
              </w:rPr>
            </w:r>
            <w:r>
              <w:rPr>
                <w:rFonts w:ascii="Arial" w:hAnsi="Arial"/>
                <w:b/>
                <w:color w:val="FFFFFF"/>
                <w:sz w:val="16"/>
              </w:rPr>
              <w:t>Yesterday</w:t>
            </w:r>
          </w:p>
        </w:tc>
        <w:tc>
          <w:tcPr>
            <w:tcW w:type="dxa" w:w="1332"/>
            <w:vAlign w:val="center"/>
            <w:shd w:fill="1F4E78"/>
            <w:tcMar>
              <w:top w:w="80" w:type="dxa"/>
              <w:left w:w="80" w:type="dxa"/>
              <w:bottom w:w="80" w:type="dxa"/>
              <w:right w:w="80" w:type="dxa"/>
            </w:tcMar>
          </w:tcPr>
          <w:p>
            <w:pPr>
              <w:jc w:val="center"/>
            </w:pPr>
            <w:r>
              <w:rPr>
                <w:b/>
                <w:color w:val="FFFFFF"/>
              </w:rPr>
            </w:r>
            <w:r>
              <w:rPr>
                <w:rFonts w:ascii="Arial" w:hAnsi="Arial"/>
                <w:b/>
                <w:color w:val="FFFFFF"/>
                <w:sz w:val="16"/>
              </w:rPr>
              <w:t>Pending</w:t>
            </w:r>
          </w:p>
        </w:tc>
        <w:tc>
          <w:tcPr>
            <w:tcW w:type="dxa" w:w="1332"/>
            <w:vAlign w:val="center"/>
            <w:shd w:fill="1F4E78"/>
            <w:tcMar>
              <w:top w:w="80" w:type="dxa"/>
              <w:left w:w="80" w:type="dxa"/>
              <w:bottom w:w="80" w:type="dxa"/>
              <w:right w:w="80" w:type="dxa"/>
            </w:tcMar>
          </w:tcPr>
          <w:p>
            <w:pPr>
              <w:jc w:val="center"/>
            </w:pPr>
            <w:r>
              <w:rPr>
                <w:b/>
                <w:color w:val="FFFFFF"/>
              </w:rPr>
            </w:r>
            <w:r>
              <w:rPr>
                <w:rFonts w:ascii="Arial" w:hAnsi="Arial"/>
                <w:b/>
                <w:color w:val="FFFFFF"/>
                <w:sz w:val="16"/>
              </w:rPr>
              <w:t>Version</w:t>
            </w:r>
          </w:p>
        </w:tc>
      </w:tr>
      <w:tr>
        <w:tc>
          <w:tcPr>
            <w:tcW w:type="dxa" w:w="2448"/>
            <w:vAlign w:val="center"/>
            <w:tcMar>
              <w:top w:w="80" w:type="dxa"/>
              <w:left w:w="80" w:type="dxa"/>
              <w:bottom w:w="80" w:type="dxa"/>
              <w:right w:w="80" w:type="dxa"/>
            </w:tcMar>
          </w:tcPr>
          <w:p>
            <w:pPr>
              <w:jc w:val="center"/>
            </w:pPr>
            <w:r/>
            <w:r>
              <w:rPr>
                <w:rFonts w:ascii="Arial" w:hAnsi="Arial"/>
                <w:b/>
                <w:sz w:val="18"/>
              </w:rPr>
              <w:t>11-9</w:t>
            </w:r>
          </w:p>
        </w:tc>
        <w:tc>
          <w:tcPr>
            <w:tcW w:type="dxa" w:w="1296"/>
            <w:vAlign w:val="center"/>
            <w:tcMar>
              <w:top w:w="80" w:type="dxa"/>
              <w:left w:w="80" w:type="dxa"/>
              <w:bottom w:w="80" w:type="dxa"/>
              <w:right w:w="80" w:type="dxa"/>
            </w:tcMar>
          </w:tcPr>
          <w:p>
            <w:pPr>
              <w:jc w:val="center"/>
            </w:pPr>
            <w:r/>
            <w:r>
              <w:rPr>
                <w:rFonts w:ascii="Arial" w:hAnsi="Arial"/>
                <w:b/>
                <w:sz w:val="18"/>
              </w:rPr>
              <w:t>55.0%</w:t>
            </w:r>
          </w:p>
        </w:tc>
        <w:tc>
          <w:tcPr>
            <w:tcW w:type="dxa" w:w="1800"/>
            <w:vAlign w:val="center"/>
            <w:tcMar>
              <w:top w:w="80" w:type="dxa"/>
              <w:left w:w="80" w:type="dxa"/>
              <w:bottom w:w="80" w:type="dxa"/>
              <w:right w:w="80" w:type="dxa"/>
            </w:tcMar>
          </w:tcPr>
          <w:p>
            <w:pPr>
              <w:jc w:val="center"/>
            </w:pPr>
            <w:r/>
            <w:r>
              <w:rPr>
                <w:rFonts w:ascii="Arial" w:hAnsi="Arial"/>
                <w:b/>
                <w:sz w:val="18"/>
              </w:rPr>
              <w:t>200 units</w:t>
            </w:r>
          </w:p>
        </w:tc>
        <w:tc>
          <w:tcPr>
            <w:tcW w:type="dxa" w:w="1152"/>
            <w:vAlign w:val="center"/>
            <w:tcMar>
              <w:top w:w="80" w:type="dxa"/>
              <w:left w:w="80" w:type="dxa"/>
              <w:bottom w:w="80" w:type="dxa"/>
              <w:right w:w="80" w:type="dxa"/>
            </w:tcMar>
          </w:tcPr>
          <w:p>
            <w:pPr>
              <w:jc w:val="center"/>
            </w:pPr>
            <w:r/>
            <w:r>
              <w:rPr>
                <w:rFonts w:ascii="Arial" w:hAnsi="Arial"/>
                <w:b/>
                <w:sz w:val="18"/>
              </w:rPr>
              <w:t>+24.42 units</w:t>
            </w:r>
          </w:p>
        </w:tc>
        <w:tc>
          <w:tcPr>
            <w:tcW w:type="dxa" w:w="1800"/>
            <w:vAlign w:val="center"/>
            <w:tcMar>
              <w:top w:w="80" w:type="dxa"/>
              <w:left w:w="80" w:type="dxa"/>
              <w:bottom w:w="80" w:type="dxa"/>
              <w:right w:w="80" w:type="dxa"/>
            </w:tcMar>
          </w:tcPr>
          <w:p>
            <w:pPr>
              <w:jc w:val="center"/>
            </w:pPr>
            <w:r/>
            <w:r>
              <w:rPr>
                <w:rFonts w:ascii="Arial" w:hAnsi="Arial"/>
                <w:b/>
                <w:sz w:val="18"/>
              </w:rPr>
              <w:t>+12.2%</w:t>
            </w:r>
          </w:p>
        </w:tc>
        <w:tc>
          <w:tcPr>
            <w:tcW w:type="dxa" w:w="1152"/>
            <w:vAlign w:val="center"/>
            <w:tcMar>
              <w:top w:w="80" w:type="dxa"/>
              <w:left w:w="80" w:type="dxa"/>
              <w:bottom w:w="80" w:type="dxa"/>
              <w:right w:w="80" w:type="dxa"/>
            </w:tcMar>
          </w:tcPr>
          <w:p>
            <w:pPr>
              <w:jc w:val="center"/>
            </w:pPr>
            <w:r/>
            <w:r>
              <w:rPr>
                <w:rFonts w:ascii="Arial" w:hAnsi="Arial"/>
                <w:b/>
                <w:sz w:val="18"/>
              </w:rPr>
              <w:t>3-7, -41.87 units</w:t>
            </w:r>
          </w:p>
        </w:tc>
        <w:tc>
          <w:tcPr>
            <w:tcW w:type="dxa" w:w="1332"/>
            <w:vAlign w:val="center"/>
            <w:tcMar>
              <w:top w:w="80" w:type="dxa"/>
              <w:left w:w="80" w:type="dxa"/>
              <w:bottom w:w="80" w:type="dxa"/>
              <w:right w:w="80" w:type="dxa"/>
            </w:tcMar>
          </w:tcPr>
          <w:p>
            <w:pPr>
              <w:jc w:val="center"/>
            </w:pPr>
            <w:r/>
            <w:r>
              <w:rPr>
                <w:rFonts w:ascii="Arial" w:hAnsi="Arial"/>
                <w:b/>
                <w:sz w:val="18"/>
              </w:rPr>
              <w:t>10 bets, 100 units</w:t>
            </w:r>
          </w:p>
        </w:tc>
        <w:tc>
          <w:tcPr>
            <w:tcW w:type="dxa" w:w="1332"/>
            <w:vAlign w:val="center"/>
            <w:tcMar>
              <w:top w:w="80" w:type="dxa"/>
              <w:left w:w="80" w:type="dxa"/>
              <w:bottom w:w="80" w:type="dxa"/>
              <w:right w:w="80" w:type="dxa"/>
            </w:tcMar>
          </w:tcPr>
          <w:p>
            <w:pPr>
              <w:jc w:val="center"/>
            </w:pPr>
            <w:r/>
            <w:r>
              <w:rPr>
                <w:rFonts w:ascii="Arial" w:hAnsi="Arial"/>
                <w:b/>
                <w:sz w:val="18"/>
              </w:rPr>
              <w:t>1.0</w:t>
            </w:r>
          </w:p>
        </w:tc>
      </w:tr>
    </w:tbl>
    <w:p>
      <w:r>
        <w:t>Trend assessment: The experiment remains profitable, but 20 settled bets are insufficient to establish a durable advantage. The 7-day and 10-day windows are both classified as insufficient sample. Peak-to-current drawdown is 41.87 units. No formal strategy change is justified from a single poor day.</w:t>
      </w:r>
    </w:p>
    <w:p>
      <w:pPr>
        <w:pStyle w:val="Heading1"/>
      </w:pPr>
      <w:r>
        <w:t>September 25 Results and Post Pick Analysis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1. Temple moneyline</w:t>
            </w:r>
          </w:p>
        </w:tc>
        <w:tc>
          <w:tcPr>
            <w:tcW w:type="dxa" w:w="1440"/>
            <w:vAlign w:val="center"/>
            <w:tcMar>
              <w:top w:w="80" w:type="dxa"/>
              <w:left w:w="80" w:type="dxa"/>
              <w:bottom w:w="80" w:type="dxa"/>
              <w:right w:w="80" w:type="dxa"/>
            </w:tcMar>
          </w:tcPr>
          <w:p>
            <w:pPr>
              <w:jc w:val="center"/>
            </w:pPr>
            <w:r/>
            <w:r>
              <w:rPr>
                <w:rFonts w:ascii="Arial" w:hAnsi="Arial"/>
                <w:b w:val="0"/>
                <w:sz w:val="18"/>
              </w:rPr>
              <w:t>+130</w:t>
            </w:r>
          </w:p>
        </w:tc>
        <w:tc>
          <w:tcPr>
            <w:tcW w:type="dxa" w:w="2448"/>
            <w:vAlign w:val="center"/>
            <w:tcMar>
              <w:top w:w="80" w:type="dxa"/>
              <w:left w:w="80" w:type="dxa"/>
              <w:bottom w:w="80" w:type="dxa"/>
              <w:right w:w="80" w:type="dxa"/>
            </w:tcMar>
          </w:tcPr>
          <w:p>
            <w:pPr>
              <w:jc w:val="center"/>
            </w:pPr>
            <w:r/>
            <w:r>
              <w:rPr>
                <w:rFonts w:ascii="Arial" w:hAnsi="Arial"/>
                <w:b w:val="0"/>
                <w:sz w:val="18"/>
              </w:rPr>
              <w:t>Lost 21-17 to Army</w:t>
            </w:r>
          </w:p>
        </w:tc>
        <w:tc>
          <w:tcPr>
            <w:tcW w:type="dxa" w:w="1440"/>
            <w:vAlign w:val="center"/>
            <w:tcMar>
              <w:top w:w="80" w:type="dxa"/>
              <w:left w:w="80" w:type="dxa"/>
              <w:bottom w:w="80" w:type="dxa"/>
              <w:right w:w="80" w:type="dxa"/>
            </w:tcMar>
          </w:tcPr>
          <w:p>
            <w:pPr>
              <w:jc w:val="center"/>
            </w:pPr>
            <w:r/>
            <w:r>
              <w:rPr>
                <w:rFonts w:ascii="Arial" w:hAnsi="Arial"/>
                <w:b w:val="0"/>
                <w:sz w:val="18"/>
              </w:rPr>
              <w:t>Loss</w:t>
            </w:r>
          </w:p>
        </w:tc>
        <w:tc>
          <w:tcPr>
            <w:tcW w:type="dxa" w:w="1440"/>
            <w:vAlign w:val="center"/>
            <w:tcMar>
              <w:top w:w="80" w:type="dxa"/>
              <w:left w:w="80" w:type="dxa"/>
              <w:bottom w:w="80" w:type="dxa"/>
              <w:right w:w="80" w:type="dxa"/>
            </w:tcMar>
          </w:tcPr>
          <w:p>
            <w:pPr>
              <w:jc w:val="center"/>
            </w:pPr>
            <w:r/>
            <w:r>
              <w:rPr>
                <w:rFonts w:ascii="Arial" w:hAnsi="Arial"/>
                <w:b w:val="0"/>
                <w:sz w:val="18"/>
              </w:rPr>
              <w:t>-10.00</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The upset thesis failed, although Temple remained competitive. Classification: ordinary variance with a modest probability-estimate concern. No immediate rule change.</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2. Army Temple under 48.5</w:t>
            </w:r>
          </w:p>
        </w:tc>
        <w:tc>
          <w:tcPr>
            <w:tcW w:type="dxa" w:w="1440"/>
            <w:vAlign w:val="center"/>
            <w:tcMar>
              <w:top w:w="80" w:type="dxa"/>
              <w:left w:w="80" w:type="dxa"/>
              <w:bottom w:w="80" w:type="dxa"/>
              <w:right w:w="80" w:type="dxa"/>
            </w:tcMar>
          </w:tcPr>
          <w:p>
            <w:pPr>
              <w:jc w:val="center"/>
            </w:pPr>
            <w:r/>
            <w:r>
              <w:rPr>
                <w:rFonts w:ascii="Arial" w:hAnsi="Arial"/>
                <w:b w:val="0"/>
                <w:sz w:val="18"/>
              </w:rPr>
              <w:t>-115</w:t>
            </w:r>
          </w:p>
        </w:tc>
        <w:tc>
          <w:tcPr>
            <w:tcW w:type="dxa" w:w="2448"/>
            <w:vAlign w:val="center"/>
            <w:tcMar>
              <w:top w:w="80" w:type="dxa"/>
              <w:left w:w="80" w:type="dxa"/>
              <w:bottom w:w="80" w:type="dxa"/>
              <w:right w:w="80" w:type="dxa"/>
            </w:tcMar>
          </w:tcPr>
          <w:p>
            <w:pPr>
              <w:jc w:val="center"/>
            </w:pPr>
            <w:r/>
            <w:r>
              <w:rPr>
                <w:rFonts w:ascii="Arial" w:hAnsi="Arial"/>
                <w:b w:val="0"/>
                <w:sz w:val="18"/>
              </w:rPr>
              <w:t>Army won 21-17; 38 points</w:t>
            </w:r>
          </w:p>
        </w:tc>
        <w:tc>
          <w:tcPr>
            <w:tcW w:type="dxa" w:w="1440"/>
            <w:vAlign w:val="center"/>
            <w:tcMar>
              <w:top w:w="80" w:type="dxa"/>
              <w:left w:w="80" w:type="dxa"/>
              <w:bottom w:w="80" w:type="dxa"/>
              <w:right w:w="80" w:type="dxa"/>
            </w:tcMar>
          </w:tcPr>
          <w:p>
            <w:pPr>
              <w:jc w:val="center"/>
            </w:pPr>
            <w:r/>
            <w:r>
              <w:rPr>
                <w:rFonts w:ascii="Arial" w:hAnsi="Arial"/>
                <w:b w:val="0"/>
                <w:sz w:val="18"/>
              </w:rPr>
              <w:t>Win</w:t>
            </w:r>
          </w:p>
        </w:tc>
        <w:tc>
          <w:tcPr>
            <w:tcW w:type="dxa" w:w="1440"/>
            <w:vAlign w:val="center"/>
            <w:tcMar>
              <w:top w:w="80" w:type="dxa"/>
              <w:left w:w="80" w:type="dxa"/>
              <w:bottom w:w="80" w:type="dxa"/>
              <w:right w:w="80" w:type="dxa"/>
            </w:tcMar>
          </w:tcPr>
          <w:p>
            <w:pPr>
              <w:jc w:val="center"/>
            </w:pPr>
            <w:r/>
            <w:r>
              <w:rPr>
                <w:rFonts w:ascii="Arial" w:hAnsi="Arial"/>
                <w:b w:val="0"/>
                <w:sz w:val="18"/>
              </w:rPr>
              <w:t>+8.70</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Good decision and expected result. The total stayed 10.5 points below the line. Retain selectively supported game totals.</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3. UAB +6.5</w:t>
            </w:r>
          </w:p>
        </w:tc>
        <w:tc>
          <w:tcPr>
            <w:tcW w:type="dxa" w:w="1440"/>
            <w:vAlign w:val="center"/>
            <w:tcMar>
              <w:top w:w="80" w:type="dxa"/>
              <w:left w:w="80" w:type="dxa"/>
              <w:bottom w:w="80" w:type="dxa"/>
              <w:right w:w="80" w:type="dxa"/>
            </w:tcMar>
          </w:tcPr>
          <w:p>
            <w:pPr>
              <w:jc w:val="center"/>
            </w:pPr>
            <w:r/>
            <w:r>
              <w:rPr>
                <w:rFonts w:ascii="Arial" w:hAnsi="Arial"/>
                <w:b w:val="0"/>
                <w:sz w:val="18"/>
              </w:rPr>
              <w:t>-105</w:t>
            </w:r>
          </w:p>
        </w:tc>
        <w:tc>
          <w:tcPr>
            <w:tcW w:type="dxa" w:w="2448"/>
            <w:vAlign w:val="center"/>
            <w:tcMar>
              <w:top w:w="80" w:type="dxa"/>
              <w:left w:w="80" w:type="dxa"/>
              <w:bottom w:w="80" w:type="dxa"/>
              <w:right w:w="80" w:type="dxa"/>
            </w:tcMar>
          </w:tcPr>
          <w:p>
            <w:pPr>
              <w:jc w:val="center"/>
            </w:pPr>
            <w:r/>
            <w:r>
              <w:rPr>
                <w:rFonts w:ascii="Arial" w:hAnsi="Arial"/>
                <w:b w:val="0"/>
                <w:sz w:val="18"/>
              </w:rPr>
              <w:t>UAB won 24-20</w:t>
            </w:r>
          </w:p>
        </w:tc>
        <w:tc>
          <w:tcPr>
            <w:tcW w:type="dxa" w:w="1440"/>
            <w:vAlign w:val="center"/>
            <w:tcMar>
              <w:top w:w="80" w:type="dxa"/>
              <w:left w:w="80" w:type="dxa"/>
              <w:bottom w:w="80" w:type="dxa"/>
              <w:right w:w="80" w:type="dxa"/>
            </w:tcMar>
          </w:tcPr>
          <w:p>
            <w:pPr>
              <w:jc w:val="center"/>
            </w:pPr>
            <w:r/>
            <w:r>
              <w:rPr>
                <w:rFonts w:ascii="Arial" w:hAnsi="Arial"/>
                <w:b w:val="0"/>
                <w:sz w:val="18"/>
              </w:rPr>
              <w:t>Win</w:t>
            </w:r>
          </w:p>
        </w:tc>
        <w:tc>
          <w:tcPr>
            <w:tcW w:type="dxa" w:w="1440"/>
            <w:vAlign w:val="center"/>
            <w:tcMar>
              <w:top w:w="80" w:type="dxa"/>
              <w:left w:w="80" w:type="dxa"/>
              <w:bottom w:w="80" w:type="dxa"/>
              <w:right w:w="80" w:type="dxa"/>
            </w:tcMar>
          </w:tcPr>
          <w:p>
            <w:pPr>
              <w:jc w:val="center"/>
            </w:pPr>
            <w:r/>
            <w:r>
              <w:rPr>
                <w:rFonts w:ascii="Arial" w:hAnsi="Arial"/>
                <w:b w:val="0"/>
                <w:sz w:val="18"/>
              </w:rPr>
              <w:t>+9.52</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Good decision with both spread protection and an outright win. The matchup assessment was directionally correct.</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4. UAB moneyline</w:t>
            </w:r>
          </w:p>
        </w:tc>
        <w:tc>
          <w:tcPr>
            <w:tcW w:type="dxa" w:w="1440"/>
            <w:vAlign w:val="center"/>
            <w:tcMar>
              <w:top w:w="80" w:type="dxa"/>
              <w:left w:w="80" w:type="dxa"/>
              <w:bottom w:w="80" w:type="dxa"/>
              <w:right w:w="80" w:type="dxa"/>
            </w:tcMar>
          </w:tcPr>
          <w:p>
            <w:pPr>
              <w:jc w:val="center"/>
            </w:pPr>
            <w:r/>
            <w:r>
              <w:rPr>
                <w:rFonts w:ascii="Arial" w:hAnsi="Arial"/>
                <w:b w:val="0"/>
                <w:sz w:val="18"/>
              </w:rPr>
              <w:t>+230</w:t>
            </w:r>
          </w:p>
        </w:tc>
        <w:tc>
          <w:tcPr>
            <w:tcW w:type="dxa" w:w="2448"/>
            <w:vAlign w:val="center"/>
            <w:tcMar>
              <w:top w:w="80" w:type="dxa"/>
              <w:left w:w="80" w:type="dxa"/>
              <w:bottom w:w="80" w:type="dxa"/>
              <w:right w:w="80" w:type="dxa"/>
            </w:tcMar>
          </w:tcPr>
          <w:p>
            <w:pPr>
              <w:jc w:val="center"/>
            </w:pPr>
            <w:r/>
            <w:r>
              <w:rPr>
                <w:rFonts w:ascii="Arial" w:hAnsi="Arial"/>
                <w:b w:val="0"/>
                <w:sz w:val="18"/>
              </w:rPr>
              <w:t>UAB won 24-20</w:t>
            </w:r>
          </w:p>
        </w:tc>
        <w:tc>
          <w:tcPr>
            <w:tcW w:type="dxa" w:w="1440"/>
            <w:vAlign w:val="center"/>
            <w:tcMar>
              <w:top w:w="80" w:type="dxa"/>
              <w:left w:w="80" w:type="dxa"/>
              <w:bottom w:w="80" w:type="dxa"/>
              <w:right w:w="80" w:type="dxa"/>
            </w:tcMar>
          </w:tcPr>
          <w:p>
            <w:pPr>
              <w:jc w:val="center"/>
            </w:pPr>
            <w:r/>
            <w:r>
              <w:rPr>
                <w:rFonts w:ascii="Arial" w:hAnsi="Arial"/>
                <w:b w:val="0"/>
                <w:sz w:val="18"/>
              </w:rPr>
              <w:t>Win</w:t>
            </w:r>
          </w:p>
        </w:tc>
        <w:tc>
          <w:tcPr>
            <w:tcW w:type="dxa" w:w="1440"/>
            <w:vAlign w:val="center"/>
            <w:tcMar>
              <w:top w:w="80" w:type="dxa"/>
              <w:left w:w="80" w:type="dxa"/>
              <w:bottom w:w="80" w:type="dxa"/>
              <w:right w:w="80" w:type="dxa"/>
            </w:tcMar>
          </w:tcPr>
          <w:p>
            <w:pPr>
              <w:jc w:val="center"/>
            </w:pPr>
            <w:r/>
            <w:r>
              <w:rPr>
                <w:rFonts w:ascii="Arial" w:hAnsi="Arial"/>
                <w:b w:val="0"/>
                <w:sz w:val="18"/>
              </w:rPr>
              <w:t>+23.00</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Good plus-money decision, but the payout was helped by favorable variance in a four-point game. Do not generalize from one high-return win.</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5. Navy UAB under 51.5</w:t>
            </w:r>
          </w:p>
        </w:tc>
        <w:tc>
          <w:tcPr>
            <w:tcW w:type="dxa" w:w="1440"/>
            <w:vAlign w:val="center"/>
            <w:tcMar>
              <w:top w:w="80" w:type="dxa"/>
              <w:left w:w="80" w:type="dxa"/>
              <w:bottom w:w="80" w:type="dxa"/>
              <w:right w:w="80" w:type="dxa"/>
            </w:tcMar>
          </w:tcPr>
          <w:p>
            <w:pPr>
              <w:jc w:val="center"/>
            </w:pPr>
            <w:r/>
            <w:r>
              <w:rPr>
                <w:rFonts w:ascii="Arial" w:hAnsi="Arial"/>
                <w:b w:val="0"/>
                <w:sz w:val="18"/>
              </w:rPr>
              <w:t>-112</w:t>
            </w:r>
          </w:p>
        </w:tc>
        <w:tc>
          <w:tcPr>
            <w:tcW w:type="dxa" w:w="2448"/>
            <w:vAlign w:val="center"/>
            <w:tcMar>
              <w:top w:w="80" w:type="dxa"/>
              <w:left w:w="80" w:type="dxa"/>
              <w:bottom w:w="80" w:type="dxa"/>
              <w:right w:w="80" w:type="dxa"/>
            </w:tcMar>
          </w:tcPr>
          <w:p>
            <w:pPr>
              <w:jc w:val="center"/>
            </w:pPr>
            <w:r/>
            <w:r>
              <w:rPr>
                <w:rFonts w:ascii="Arial" w:hAnsi="Arial"/>
                <w:b w:val="0"/>
                <w:sz w:val="18"/>
              </w:rPr>
              <w:t>UAB won 24-20; 44 points</w:t>
            </w:r>
          </w:p>
        </w:tc>
        <w:tc>
          <w:tcPr>
            <w:tcW w:type="dxa" w:w="1440"/>
            <w:vAlign w:val="center"/>
            <w:tcMar>
              <w:top w:w="80" w:type="dxa"/>
              <w:left w:w="80" w:type="dxa"/>
              <w:bottom w:w="80" w:type="dxa"/>
              <w:right w:w="80" w:type="dxa"/>
            </w:tcMar>
          </w:tcPr>
          <w:p>
            <w:pPr>
              <w:jc w:val="center"/>
            </w:pPr>
            <w:r/>
            <w:r>
              <w:rPr>
                <w:rFonts w:ascii="Arial" w:hAnsi="Arial"/>
                <w:b w:val="0"/>
                <w:sz w:val="18"/>
              </w:rPr>
              <w:t>Win</w:t>
            </w:r>
          </w:p>
        </w:tc>
        <w:tc>
          <w:tcPr>
            <w:tcW w:type="dxa" w:w="1440"/>
            <w:vAlign w:val="center"/>
            <w:tcMar>
              <w:top w:w="80" w:type="dxa"/>
              <w:left w:w="80" w:type="dxa"/>
              <w:bottom w:w="80" w:type="dxa"/>
              <w:right w:w="80" w:type="dxa"/>
            </w:tcMar>
          </w:tcPr>
          <w:p>
            <w:pPr>
              <w:jc w:val="center"/>
            </w:pPr>
            <w:r/>
            <w:r>
              <w:rPr>
                <w:rFonts w:ascii="Arial" w:hAnsi="Arial"/>
                <w:b w:val="0"/>
                <w:sz w:val="18"/>
              </w:rPr>
              <w:t>+8.93</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Good total estimate. The game finished 7.5 points below the line. Continue using pace and scoring-efficiency evidence.</w:t>
            </w:r>
          </w:p>
        </w:tc>
      </w:tr>
    </w:tbl>
    <w:p>
      <w:pPr>
        <w:spacing w:after="40"/>
      </w:pPr>
    </w:p>
    <w:p>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6. Howard +42.5</w:t>
            </w:r>
          </w:p>
        </w:tc>
        <w:tc>
          <w:tcPr>
            <w:tcW w:type="dxa" w:w="1440"/>
            <w:vAlign w:val="center"/>
            <w:tcMar>
              <w:top w:w="80" w:type="dxa"/>
              <w:left w:w="80" w:type="dxa"/>
              <w:bottom w:w="80" w:type="dxa"/>
              <w:right w:w="80" w:type="dxa"/>
            </w:tcMar>
          </w:tcPr>
          <w:p>
            <w:pPr>
              <w:jc w:val="center"/>
            </w:pPr>
            <w:r/>
            <w:r>
              <w:rPr>
                <w:rFonts w:ascii="Arial" w:hAnsi="Arial"/>
                <w:b w:val="0"/>
                <w:sz w:val="18"/>
              </w:rPr>
              <w:t>-110</w:t>
            </w:r>
          </w:p>
        </w:tc>
        <w:tc>
          <w:tcPr>
            <w:tcW w:type="dxa" w:w="2448"/>
            <w:vAlign w:val="center"/>
            <w:tcMar>
              <w:top w:w="80" w:type="dxa"/>
              <w:left w:w="80" w:type="dxa"/>
              <w:bottom w:w="80" w:type="dxa"/>
              <w:right w:w="80" w:type="dxa"/>
            </w:tcMar>
          </w:tcPr>
          <w:p>
            <w:pPr>
              <w:jc w:val="center"/>
            </w:pPr>
            <w:r/>
            <w:r>
              <w:rPr>
                <w:rFonts w:ascii="Arial" w:hAnsi="Arial"/>
                <w:b w:val="0"/>
                <w:sz w:val="18"/>
              </w:rPr>
              <w:t>Lost 58-7 to Rutgers</w:t>
            </w:r>
          </w:p>
        </w:tc>
        <w:tc>
          <w:tcPr>
            <w:tcW w:type="dxa" w:w="1440"/>
            <w:vAlign w:val="center"/>
            <w:tcMar>
              <w:top w:w="80" w:type="dxa"/>
              <w:left w:w="80" w:type="dxa"/>
              <w:bottom w:w="80" w:type="dxa"/>
              <w:right w:w="80" w:type="dxa"/>
            </w:tcMar>
          </w:tcPr>
          <w:p>
            <w:pPr>
              <w:jc w:val="center"/>
            </w:pPr>
            <w:r/>
            <w:r>
              <w:rPr>
                <w:rFonts w:ascii="Arial" w:hAnsi="Arial"/>
                <w:b w:val="0"/>
                <w:sz w:val="18"/>
              </w:rPr>
              <w:t>Loss</w:t>
            </w:r>
          </w:p>
        </w:tc>
        <w:tc>
          <w:tcPr>
            <w:tcW w:type="dxa" w:w="1440"/>
            <w:vAlign w:val="center"/>
            <w:tcMar>
              <w:top w:w="80" w:type="dxa"/>
              <w:left w:w="80" w:type="dxa"/>
              <w:bottom w:w="80" w:type="dxa"/>
              <w:right w:w="80" w:type="dxa"/>
            </w:tcMar>
          </w:tcPr>
          <w:p>
            <w:pPr>
              <w:jc w:val="center"/>
            </w:pPr>
            <w:r/>
            <w:r>
              <w:rPr>
                <w:rFonts w:ascii="Arial" w:hAnsi="Arial"/>
                <w:b w:val="0"/>
                <w:sz w:val="18"/>
              </w:rPr>
              <w:t>-10.00</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Matchup error. Howard lost by 51 and failed to stay within the large cushion. Add an offensive-floor and talent-gap screen for extreme underdogs.</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7. Howard Rutgers over 53.5</w:t>
            </w:r>
          </w:p>
        </w:tc>
        <w:tc>
          <w:tcPr>
            <w:tcW w:type="dxa" w:w="1440"/>
            <w:vAlign w:val="center"/>
            <w:tcMar>
              <w:top w:w="80" w:type="dxa"/>
              <w:left w:w="80" w:type="dxa"/>
              <w:bottom w:w="80" w:type="dxa"/>
              <w:right w:w="80" w:type="dxa"/>
            </w:tcMar>
          </w:tcPr>
          <w:p>
            <w:pPr>
              <w:jc w:val="center"/>
            </w:pPr>
            <w:r/>
            <w:r>
              <w:rPr>
                <w:rFonts w:ascii="Arial" w:hAnsi="Arial"/>
                <w:b w:val="0"/>
                <w:sz w:val="18"/>
              </w:rPr>
              <w:t>-108</w:t>
            </w:r>
          </w:p>
        </w:tc>
        <w:tc>
          <w:tcPr>
            <w:tcW w:type="dxa" w:w="2448"/>
            <w:vAlign w:val="center"/>
            <w:tcMar>
              <w:top w:w="80" w:type="dxa"/>
              <w:left w:w="80" w:type="dxa"/>
              <w:bottom w:w="80" w:type="dxa"/>
              <w:right w:w="80" w:type="dxa"/>
            </w:tcMar>
          </w:tcPr>
          <w:p>
            <w:pPr>
              <w:jc w:val="center"/>
            </w:pPr>
            <w:r/>
            <w:r>
              <w:rPr>
                <w:rFonts w:ascii="Arial" w:hAnsi="Arial"/>
                <w:b w:val="0"/>
                <w:sz w:val="18"/>
              </w:rPr>
              <w:t>Rutgers won 58-7; 65 points</w:t>
            </w:r>
          </w:p>
        </w:tc>
        <w:tc>
          <w:tcPr>
            <w:tcW w:type="dxa" w:w="1440"/>
            <w:vAlign w:val="center"/>
            <w:tcMar>
              <w:top w:w="80" w:type="dxa"/>
              <w:left w:w="80" w:type="dxa"/>
              <w:bottom w:w="80" w:type="dxa"/>
              <w:right w:w="80" w:type="dxa"/>
            </w:tcMar>
          </w:tcPr>
          <w:p>
            <w:pPr>
              <w:jc w:val="center"/>
            </w:pPr>
            <w:r/>
            <w:r>
              <w:rPr>
                <w:rFonts w:ascii="Arial" w:hAnsi="Arial"/>
                <w:b w:val="0"/>
                <w:sz w:val="18"/>
              </w:rPr>
              <w:t>Win</w:t>
            </w:r>
          </w:p>
        </w:tc>
        <w:tc>
          <w:tcPr>
            <w:tcW w:type="dxa" w:w="1440"/>
            <w:vAlign w:val="center"/>
            <w:tcMar>
              <w:top w:w="80" w:type="dxa"/>
              <w:left w:w="80" w:type="dxa"/>
              <w:bottom w:w="80" w:type="dxa"/>
              <w:right w:w="80" w:type="dxa"/>
            </w:tcMar>
          </w:tcPr>
          <w:p>
            <w:pPr>
              <w:jc w:val="center"/>
            </w:pPr>
            <w:r/>
            <w:r>
              <w:rPr>
                <w:rFonts w:ascii="Arial" w:hAnsi="Arial"/>
                <w:b w:val="0"/>
                <w:sz w:val="18"/>
              </w:rPr>
              <w:t>+9.26</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Good total selection. Rutgers supplied enough scoring to clear the number despite limited Howard production.</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8. Clemson moneyline</w:t>
            </w:r>
          </w:p>
        </w:tc>
        <w:tc>
          <w:tcPr>
            <w:tcW w:type="dxa" w:w="1440"/>
            <w:vAlign w:val="center"/>
            <w:tcMar>
              <w:top w:w="80" w:type="dxa"/>
              <w:left w:w="80" w:type="dxa"/>
              <w:bottom w:w="80" w:type="dxa"/>
              <w:right w:w="80" w:type="dxa"/>
            </w:tcMar>
          </w:tcPr>
          <w:p>
            <w:pPr>
              <w:jc w:val="center"/>
            </w:pPr>
            <w:r/>
            <w:r>
              <w:rPr>
                <w:rFonts w:ascii="Arial" w:hAnsi="Arial"/>
                <w:b w:val="0"/>
                <w:sz w:val="18"/>
              </w:rPr>
              <w:t>-115</w:t>
            </w:r>
          </w:p>
        </w:tc>
        <w:tc>
          <w:tcPr>
            <w:tcW w:type="dxa" w:w="2448"/>
            <w:vAlign w:val="center"/>
            <w:tcMar>
              <w:top w:w="80" w:type="dxa"/>
              <w:left w:w="80" w:type="dxa"/>
              <w:bottom w:w="80" w:type="dxa"/>
              <w:right w:w="80" w:type="dxa"/>
            </w:tcMar>
          </w:tcPr>
          <w:p>
            <w:pPr>
              <w:jc w:val="center"/>
            </w:pPr>
            <w:r/>
            <w:r>
              <w:rPr>
                <w:rFonts w:ascii="Arial" w:hAnsi="Arial"/>
                <w:b w:val="0"/>
                <w:sz w:val="18"/>
              </w:rPr>
              <w:t>Clemson won 24-10</w:t>
            </w:r>
          </w:p>
        </w:tc>
        <w:tc>
          <w:tcPr>
            <w:tcW w:type="dxa" w:w="1440"/>
            <w:vAlign w:val="center"/>
            <w:tcMar>
              <w:top w:w="80" w:type="dxa"/>
              <w:left w:w="80" w:type="dxa"/>
              <w:bottom w:w="80" w:type="dxa"/>
              <w:right w:w="80" w:type="dxa"/>
            </w:tcMar>
          </w:tcPr>
          <w:p>
            <w:pPr>
              <w:jc w:val="center"/>
            </w:pPr>
            <w:r/>
            <w:r>
              <w:rPr>
                <w:rFonts w:ascii="Arial" w:hAnsi="Arial"/>
                <w:b w:val="0"/>
                <w:sz w:val="18"/>
              </w:rPr>
              <w:t>Win</w:t>
            </w:r>
          </w:p>
        </w:tc>
        <w:tc>
          <w:tcPr>
            <w:tcW w:type="dxa" w:w="1440"/>
            <w:vAlign w:val="center"/>
            <w:tcMar>
              <w:top w:w="80" w:type="dxa"/>
              <w:left w:w="80" w:type="dxa"/>
              <w:bottom w:w="80" w:type="dxa"/>
              <w:right w:w="80" w:type="dxa"/>
            </w:tcMar>
          </w:tcPr>
          <w:p>
            <w:pPr>
              <w:jc w:val="center"/>
            </w:pPr>
            <w:r/>
            <w:r>
              <w:rPr>
                <w:rFonts w:ascii="Arial" w:hAnsi="Arial"/>
                <w:b w:val="0"/>
                <w:sz w:val="18"/>
              </w:rPr>
              <w:t>+8.70</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Good decision. Clemson's defense and second-half control supported the win probability.</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9. Clemson -1.5</w:t>
            </w:r>
          </w:p>
        </w:tc>
        <w:tc>
          <w:tcPr>
            <w:tcW w:type="dxa" w:w="1440"/>
            <w:vAlign w:val="center"/>
            <w:tcMar>
              <w:top w:w="80" w:type="dxa"/>
              <w:left w:w="80" w:type="dxa"/>
              <w:bottom w:w="80" w:type="dxa"/>
              <w:right w:w="80" w:type="dxa"/>
            </w:tcMar>
          </w:tcPr>
          <w:p>
            <w:pPr>
              <w:jc w:val="center"/>
            </w:pPr>
            <w:r/>
            <w:r>
              <w:rPr>
                <w:rFonts w:ascii="Arial" w:hAnsi="Arial"/>
                <w:b w:val="0"/>
                <w:sz w:val="18"/>
              </w:rPr>
              <w:t>-110</w:t>
            </w:r>
          </w:p>
        </w:tc>
        <w:tc>
          <w:tcPr>
            <w:tcW w:type="dxa" w:w="2448"/>
            <w:vAlign w:val="center"/>
            <w:tcMar>
              <w:top w:w="80" w:type="dxa"/>
              <w:left w:w="80" w:type="dxa"/>
              <w:bottom w:w="80" w:type="dxa"/>
              <w:right w:w="80" w:type="dxa"/>
            </w:tcMar>
          </w:tcPr>
          <w:p>
            <w:pPr>
              <w:jc w:val="center"/>
            </w:pPr>
            <w:r/>
            <w:r>
              <w:rPr>
                <w:rFonts w:ascii="Arial" w:hAnsi="Arial"/>
                <w:b w:val="0"/>
                <w:sz w:val="18"/>
              </w:rPr>
              <w:t>Clemson won 24-10</w:t>
            </w:r>
          </w:p>
        </w:tc>
        <w:tc>
          <w:tcPr>
            <w:tcW w:type="dxa" w:w="1440"/>
            <w:vAlign w:val="center"/>
            <w:tcMar>
              <w:top w:w="80" w:type="dxa"/>
              <w:left w:w="80" w:type="dxa"/>
              <w:bottom w:w="80" w:type="dxa"/>
              <w:right w:w="80" w:type="dxa"/>
            </w:tcMar>
          </w:tcPr>
          <w:p>
            <w:pPr>
              <w:jc w:val="center"/>
            </w:pPr>
            <w:r/>
            <w:r>
              <w:rPr>
                <w:rFonts w:ascii="Arial" w:hAnsi="Arial"/>
                <w:b w:val="0"/>
                <w:sz w:val="18"/>
              </w:rPr>
              <w:t>Win</w:t>
            </w:r>
          </w:p>
        </w:tc>
        <w:tc>
          <w:tcPr>
            <w:tcW w:type="dxa" w:w="1440"/>
            <w:vAlign w:val="center"/>
            <w:tcMar>
              <w:top w:w="80" w:type="dxa"/>
              <w:left w:w="80" w:type="dxa"/>
              <w:bottom w:w="80" w:type="dxa"/>
              <w:right w:w="80" w:type="dxa"/>
            </w:tcMar>
          </w:tcPr>
          <w:p>
            <w:pPr>
              <w:jc w:val="center"/>
            </w:pPr>
            <w:r/>
            <w:r>
              <w:rPr>
                <w:rFonts w:ascii="Arial" w:hAnsi="Arial"/>
                <w:b w:val="0"/>
                <w:sz w:val="18"/>
              </w:rPr>
              <w:t>+9.09</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Good decision, but correlated with the Clemson moneyline. Future cards should disclose same-game exposure explicitly.</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10. Clemson California under 50.5</w:t>
            </w:r>
          </w:p>
        </w:tc>
        <w:tc>
          <w:tcPr>
            <w:tcW w:type="dxa" w:w="1440"/>
            <w:vAlign w:val="center"/>
            <w:tcMar>
              <w:top w:w="80" w:type="dxa"/>
              <w:left w:w="80" w:type="dxa"/>
              <w:bottom w:w="80" w:type="dxa"/>
              <w:right w:w="80" w:type="dxa"/>
            </w:tcMar>
          </w:tcPr>
          <w:p>
            <w:pPr>
              <w:jc w:val="center"/>
            </w:pPr>
            <w:r/>
            <w:r>
              <w:rPr>
                <w:rFonts w:ascii="Arial" w:hAnsi="Arial"/>
                <w:b w:val="0"/>
                <w:sz w:val="18"/>
              </w:rPr>
              <w:t>-110</w:t>
            </w:r>
          </w:p>
        </w:tc>
        <w:tc>
          <w:tcPr>
            <w:tcW w:type="dxa" w:w="2448"/>
            <w:vAlign w:val="center"/>
            <w:tcMar>
              <w:top w:w="80" w:type="dxa"/>
              <w:left w:w="80" w:type="dxa"/>
              <w:bottom w:w="80" w:type="dxa"/>
              <w:right w:w="80" w:type="dxa"/>
            </w:tcMar>
          </w:tcPr>
          <w:p>
            <w:pPr>
              <w:jc w:val="center"/>
            </w:pPr>
            <w:r/>
            <w:r>
              <w:rPr>
                <w:rFonts w:ascii="Arial" w:hAnsi="Arial"/>
                <w:b w:val="0"/>
                <w:sz w:val="18"/>
              </w:rPr>
              <w:t>Clemson won 24-10; 34 points</w:t>
            </w:r>
          </w:p>
        </w:tc>
        <w:tc>
          <w:tcPr>
            <w:tcW w:type="dxa" w:w="1440"/>
            <w:vAlign w:val="center"/>
            <w:tcMar>
              <w:top w:w="80" w:type="dxa"/>
              <w:left w:w="80" w:type="dxa"/>
              <w:bottom w:w="80" w:type="dxa"/>
              <w:right w:w="80" w:type="dxa"/>
            </w:tcMar>
          </w:tcPr>
          <w:p>
            <w:pPr>
              <w:jc w:val="center"/>
            </w:pPr>
            <w:r/>
            <w:r>
              <w:rPr>
                <w:rFonts w:ascii="Arial" w:hAnsi="Arial"/>
                <w:b w:val="0"/>
                <w:sz w:val="18"/>
              </w:rPr>
              <w:t>Win</w:t>
            </w:r>
          </w:p>
        </w:tc>
        <w:tc>
          <w:tcPr>
            <w:tcW w:type="dxa" w:w="1440"/>
            <w:vAlign w:val="center"/>
            <w:tcMar>
              <w:top w:w="80" w:type="dxa"/>
              <w:left w:w="80" w:type="dxa"/>
              <w:bottom w:w="80" w:type="dxa"/>
              <w:right w:w="80" w:type="dxa"/>
            </w:tcMar>
          </w:tcPr>
          <w:p>
            <w:pPr>
              <w:jc w:val="center"/>
            </w:pPr>
            <w:r/>
            <w:r>
              <w:rPr>
                <w:rFonts w:ascii="Arial" w:hAnsi="Arial"/>
                <w:b w:val="0"/>
                <w:sz w:val="18"/>
              </w:rPr>
              <w:t>+9.09</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Good total estimate. The final stayed 16.5 points under. This also correlated with the Clemson positions and should be tracked as clustered game risk.</w:t>
            </w:r>
          </w:p>
        </w:tc>
      </w:tr>
    </w:tbl>
    <w:p>
      <w:pPr>
        <w:spacing w:after="40"/>
      </w:pPr>
    </w:p>
    <w:p>
      <w:r/>
    </w:p>
    <w:p>
      <w:pPr>
        <w:pStyle w:val="Heading1"/>
      </w:pPr>
      <w:r>
        <w:t>September 26 Results and Post Pick Analysis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1. Akron +13.5</w:t>
            </w:r>
          </w:p>
        </w:tc>
        <w:tc>
          <w:tcPr>
            <w:tcW w:type="dxa" w:w="1440"/>
            <w:vAlign w:val="center"/>
            <w:tcMar>
              <w:top w:w="80" w:type="dxa"/>
              <w:left w:w="80" w:type="dxa"/>
              <w:bottom w:w="80" w:type="dxa"/>
              <w:right w:w="80" w:type="dxa"/>
            </w:tcMar>
          </w:tcPr>
          <w:p>
            <w:pPr>
              <w:jc w:val="center"/>
            </w:pPr>
            <w:r/>
            <w:r>
              <w:rPr>
                <w:rFonts w:ascii="Arial" w:hAnsi="Arial"/>
                <w:b w:val="0"/>
                <w:sz w:val="18"/>
              </w:rPr>
              <w:t>-108</w:t>
            </w:r>
          </w:p>
        </w:tc>
        <w:tc>
          <w:tcPr>
            <w:tcW w:type="dxa" w:w="2448"/>
            <w:vAlign w:val="center"/>
            <w:tcMar>
              <w:top w:w="80" w:type="dxa"/>
              <w:left w:w="80" w:type="dxa"/>
              <w:bottom w:w="80" w:type="dxa"/>
              <w:right w:w="80" w:type="dxa"/>
            </w:tcMar>
          </w:tcPr>
          <w:p>
            <w:pPr>
              <w:jc w:val="center"/>
            </w:pPr>
            <w:r/>
            <w:r>
              <w:rPr>
                <w:rFonts w:ascii="Arial" w:hAnsi="Arial"/>
                <w:b w:val="0"/>
                <w:sz w:val="18"/>
              </w:rPr>
              <w:t>Lost 38-10</w:t>
            </w:r>
          </w:p>
        </w:tc>
        <w:tc>
          <w:tcPr>
            <w:tcW w:type="dxa" w:w="1440"/>
            <w:vAlign w:val="center"/>
            <w:tcMar>
              <w:top w:w="80" w:type="dxa"/>
              <w:left w:w="80" w:type="dxa"/>
              <w:bottom w:w="80" w:type="dxa"/>
              <w:right w:w="80" w:type="dxa"/>
            </w:tcMar>
          </w:tcPr>
          <w:p>
            <w:pPr>
              <w:jc w:val="center"/>
            </w:pPr>
            <w:r/>
            <w:r>
              <w:rPr>
                <w:rFonts w:ascii="Arial" w:hAnsi="Arial"/>
                <w:b w:val="0"/>
                <w:sz w:val="18"/>
              </w:rPr>
              <w:t>Loss</w:t>
            </w:r>
          </w:p>
        </w:tc>
        <w:tc>
          <w:tcPr>
            <w:tcW w:type="dxa" w:w="1440"/>
            <w:vAlign w:val="center"/>
            <w:tcMar>
              <w:top w:w="80" w:type="dxa"/>
              <w:left w:w="80" w:type="dxa"/>
              <w:bottom w:w="80" w:type="dxa"/>
              <w:right w:w="80" w:type="dxa"/>
            </w:tcMar>
          </w:tcPr>
          <w:p>
            <w:pPr>
              <w:jc w:val="center"/>
            </w:pPr>
            <w:r/>
            <w:r>
              <w:rPr>
                <w:rFonts w:ascii="Arial" w:hAnsi="Arial"/>
                <w:b w:val="0"/>
                <w:sz w:val="18"/>
              </w:rPr>
              <w:t>-10.00</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Matchup error. Akron lost by 28, so the handicap was materially too optimistic. Flag large underdogs with weak offensive floors; no rule change from one result.</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2. Wake Forest +13.5</w:t>
            </w:r>
          </w:p>
        </w:tc>
        <w:tc>
          <w:tcPr>
            <w:tcW w:type="dxa" w:w="1440"/>
            <w:vAlign w:val="center"/>
            <w:tcMar>
              <w:top w:w="80" w:type="dxa"/>
              <w:left w:w="80" w:type="dxa"/>
              <w:bottom w:w="80" w:type="dxa"/>
              <w:right w:w="80" w:type="dxa"/>
            </w:tcMar>
          </w:tcPr>
          <w:p>
            <w:pPr>
              <w:jc w:val="center"/>
            </w:pPr>
            <w:r/>
            <w:r>
              <w:rPr>
                <w:rFonts w:ascii="Arial" w:hAnsi="Arial"/>
                <w:b w:val="0"/>
                <w:sz w:val="18"/>
              </w:rPr>
              <w:t>-112</w:t>
            </w:r>
          </w:p>
        </w:tc>
        <w:tc>
          <w:tcPr>
            <w:tcW w:type="dxa" w:w="2448"/>
            <w:vAlign w:val="center"/>
            <w:tcMar>
              <w:top w:w="80" w:type="dxa"/>
              <w:left w:w="80" w:type="dxa"/>
              <w:bottom w:w="80" w:type="dxa"/>
              <w:right w:w="80" w:type="dxa"/>
            </w:tcMar>
          </w:tcPr>
          <w:p>
            <w:pPr>
              <w:jc w:val="center"/>
            </w:pPr>
            <w:r/>
            <w:r>
              <w:rPr>
                <w:rFonts w:ascii="Arial" w:hAnsi="Arial"/>
                <w:b w:val="0"/>
                <w:sz w:val="18"/>
              </w:rPr>
              <w:t>Won 30-27</w:t>
            </w:r>
          </w:p>
        </w:tc>
        <w:tc>
          <w:tcPr>
            <w:tcW w:type="dxa" w:w="1440"/>
            <w:vAlign w:val="center"/>
            <w:tcMar>
              <w:top w:w="80" w:type="dxa"/>
              <w:left w:w="80" w:type="dxa"/>
              <w:bottom w:w="80" w:type="dxa"/>
              <w:right w:w="80" w:type="dxa"/>
            </w:tcMar>
          </w:tcPr>
          <w:p>
            <w:pPr>
              <w:jc w:val="center"/>
            </w:pPr>
            <w:r/>
            <w:r>
              <w:rPr>
                <w:rFonts w:ascii="Arial" w:hAnsi="Arial"/>
                <w:b w:val="0"/>
                <w:sz w:val="18"/>
              </w:rPr>
              <w:t>Win</w:t>
            </w:r>
          </w:p>
        </w:tc>
        <w:tc>
          <w:tcPr>
            <w:tcW w:type="dxa" w:w="1440"/>
            <w:vAlign w:val="center"/>
            <w:tcMar>
              <w:top w:w="80" w:type="dxa"/>
              <w:left w:w="80" w:type="dxa"/>
              <w:bottom w:w="80" w:type="dxa"/>
              <w:right w:w="80" w:type="dxa"/>
            </w:tcMar>
          </w:tcPr>
          <w:p>
            <w:pPr>
              <w:jc w:val="center"/>
            </w:pPr>
            <w:r/>
            <w:r>
              <w:rPr>
                <w:rFonts w:ascii="Arial" w:hAnsi="Arial"/>
                <w:b w:val="0"/>
                <w:sz w:val="18"/>
              </w:rPr>
              <w:t>+8.93</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Good decision with favorable upside. The spread had ample protection and Wake Forest won outright. Continue favoring points when the underdog has a credible path to compete.</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3. Illinois +27.5</w:t>
            </w:r>
          </w:p>
        </w:tc>
        <w:tc>
          <w:tcPr>
            <w:tcW w:type="dxa" w:w="1440"/>
            <w:vAlign w:val="center"/>
            <w:tcMar>
              <w:top w:w="80" w:type="dxa"/>
              <w:left w:w="80" w:type="dxa"/>
              <w:bottom w:w="80" w:type="dxa"/>
              <w:right w:w="80" w:type="dxa"/>
            </w:tcMar>
          </w:tcPr>
          <w:p>
            <w:pPr>
              <w:jc w:val="center"/>
            </w:pPr>
            <w:r/>
            <w:r>
              <w:rPr>
                <w:rFonts w:ascii="Arial" w:hAnsi="Arial"/>
                <w:b w:val="0"/>
                <w:sz w:val="18"/>
              </w:rPr>
              <w:t>-115</w:t>
            </w:r>
          </w:p>
        </w:tc>
        <w:tc>
          <w:tcPr>
            <w:tcW w:type="dxa" w:w="2448"/>
            <w:vAlign w:val="center"/>
            <w:tcMar>
              <w:top w:w="80" w:type="dxa"/>
              <w:left w:w="80" w:type="dxa"/>
              <w:bottom w:w="80" w:type="dxa"/>
              <w:right w:w="80" w:type="dxa"/>
            </w:tcMar>
          </w:tcPr>
          <w:p>
            <w:pPr>
              <w:jc w:val="center"/>
            </w:pPr>
            <w:r/>
            <w:r>
              <w:rPr>
                <w:rFonts w:ascii="Arial" w:hAnsi="Arial"/>
                <w:b w:val="0"/>
                <w:sz w:val="18"/>
              </w:rPr>
              <w:t>Lost 42-19</w:t>
            </w:r>
          </w:p>
        </w:tc>
        <w:tc>
          <w:tcPr>
            <w:tcW w:type="dxa" w:w="1440"/>
            <w:vAlign w:val="center"/>
            <w:tcMar>
              <w:top w:w="80" w:type="dxa"/>
              <w:left w:w="80" w:type="dxa"/>
              <w:bottom w:w="80" w:type="dxa"/>
              <w:right w:w="80" w:type="dxa"/>
            </w:tcMar>
          </w:tcPr>
          <w:p>
            <w:pPr>
              <w:jc w:val="center"/>
            </w:pPr>
            <w:r/>
            <w:r>
              <w:rPr>
                <w:rFonts w:ascii="Arial" w:hAnsi="Arial"/>
                <w:b w:val="0"/>
                <w:sz w:val="18"/>
              </w:rPr>
              <w:t>Win</w:t>
            </w:r>
          </w:p>
        </w:tc>
        <w:tc>
          <w:tcPr>
            <w:tcW w:type="dxa" w:w="1440"/>
            <w:vAlign w:val="center"/>
            <w:tcMar>
              <w:top w:w="80" w:type="dxa"/>
              <w:left w:w="80" w:type="dxa"/>
              <w:bottom w:w="80" w:type="dxa"/>
              <w:right w:w="80" w:type="dxa"/>
            </w:tcMar>
          </w:tcPr>
          <w:p>
            <w:pPr>
              <w:jc w:val="center"/>
            </w:pPr>
            <w:r/>
            <w:r>
              <w:rPr>
                <w:rFonts w:ascii="Arial" w:hAnsi="Arial"/>
                <w:b w:val="0"/>
                <w:sz w:val="18"/>
              </w:rPr>
              <w:t>+8.70</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Good decision and expected cover. The large cushion absorbed a 23-point loss. Retain selective large spreads when the price is supported.</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4. San Diego State moneyline</w:t>
            </w:r>
          </w:p>
        </w:tc>
        <w:tc>
          <w:tcPr>
            <w:tcW w:type="dxa" w:w="1440"/>
            <w:vAlign w:val="center"/>
            <w:tcMar>
              <w:top w:w="80" w:type="dxa"/>
              <w:left w:w="80" w:type="dxa"/>
              <w:bottom w:w="80" w:type="dxa"/>
              <w:right w:w="80" w:type="dxa"/>
            </w:tcMar>
          </w:tcPr>
          <w:p>
            <w:pPr>
              <w:jc w:val="center"/>
            </w:pPr>
            <w:r/>
            <w:r>
              <w:rPr>
                <w:rFonts w:ascii="Arial" w:hAnsi="Arial"/>
                <w:b w:val="0"/>
                <w:sz w:val="18"/>
              </w:rPr>
              <w:t>+124</w:t>
            </w:r>
          </w:p>
        </w:tc>
        <w:tc>
          <w:tcPr>
            <w:tcW w:type="dxa" w:w="2448"/>
            <w:vAlign w:val="center"/>
            <w:tcMar>
              <w:top w:w="80" w:type="dxa"/>
              <w:left w:w="80" w:type="dxa"/>
              <w:bottom w:w="80" w:type="dxa"/>
              <w:right w:w="80" w:type="dxa"/>
            </w:tcMar>
          </w:tcPr>
          <w:p>
            <w:pPr>
              <w:jc w:val="center"/>
            </w:pPr>
            <w:r/>
            <w:r>
              <w:rPr>
                <w:rFonts w:ascii="Arial" w:hAnsi="Arial"/>
                <w:b w:val="0"/>
                <w:sz w:val="18"/>
              </w:rPr>
              <w:t>Lost 41-16</w:t>
            </w:r>
          </w:p>
        </w:tc>
        <w:tc>
          <w:tcPr>
            <w:tcW w:type="dxa" w:w="1440"/>
            <w:vAlign w:val="center"/>
            <w:tcMar>
              <w:top w:w="80" w:type="dxa"/>
              <w:left w:w="80" w:type="dxa"/>
              <w:bottom w:w="80" w:type="dxa"/>
              <w:right w:w="80" w:type="dxa"/>
            </w:tcMar>
          </w:tcPr>
          <w:p>
            <w:pPr>
              <w:jc w:val="center"/>
            </w:pPr>
            <w:r/>
            <w:r>
              <w:rPr>
                <w:rFonts w:ascii="Arial" w:hAnsi="Arial"/>
                <w:b w:val="0"/>
                <w:sz w:val="18"/>
              </w:rPr>
              <w:t>Loss</w:t>
            </w:r>
          </w:p>
        </w:tc>
        <w:tc>
          <w:tcPr>
            <w:tcW w:type="dxa" w:w="1440"/>
            <w:vAlign w:val="center"/>
            <w:tcMar>
              <w:top w:w="80" w:type="dxa"/>
              <w:left w:w="80" w:type="dxa"/>
              <w:bottom w:w="80" w:type="dxa"/>
              <w:right w:w="80" w:type="dxa"/>
            </w:tcMar>
          </w:tcPr>
          <w:p>
            <w:pPr>
              <w:jc w:val="center"/>
            </w:pPr>
            <w:r/>
            <w:r>
              <w:rPr>
                <w:rFonts w:ascii="Arial" w:hAnsi="Arial"/>
                <w:b w:val="0"/>
                <w:sz w:val="18"/>
              </w:rPr>
              <w:t>-10.00</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Flawed probability estimate and matchup error. The game was not competitive. Raise scrutiny on modest plus-money road underdogs.</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5. Ball State moneyline</w:t>
            </w:r>
          </w:p>
        </w:tc>
        <w:tc>
          <w:tcPr>
            <w:tcW w:type="dxa" w:w="1440"/>
            <w:vAlign w:val="center"/>
            <w:tcMar>
              <w:top w:w="80" w:type="dxa"/>
              <w:left w:w="80" w:type="dxa"/>
              <w:bottom w:w="80" w:type="dxa"/>
              <w:right w:w="80" w:type="dxa"/>
            </w:tcMar>
          </w:tcPr>
          <w:p>
            <w:pPr>
              <w:jc w:val="center"/>
            </w:pPr>
            <w:r/>
            <w:r>
              <w:rPr>
                <w:rFonts w:ascii="Arial" w:hAnsi="Arial"/>
                <w:b w:val="0"/>
                <w:sz w:val="18"/>
              </w:rPr>
              <w:t>+130</w:t>
            </w:r>
          </w:p>
        </w:tc>
        <w:tc>
          <w:tcPr>
            <w:tcW w:type="dxa" w:w="2448"/>
            <w:vAlign w:val="center"/>
            <w:tcMar>
              <w:top w:w="80" w:type="dxa"/>
              <w:left w:w="80" w:type="dxa"/>
              <w:bottom w:w="80" w:type="dxa"/>
              <w:right w:w="80" w:type="dxa"/>
            </w:tcMar>
          </w:tcPr>
          <w:p>
            <w:pPr>
              <w:jc w:val="center"/>
            </w:pPr>
            <w:r/>
            <w:r>
              <w:rPr>
                <w:rFonts w:ascii="Arial" w:hAnsi="Arial"/>
                <w:b w:val="0"/>
                <w:sz w:val="18"/>
              </w:rPr>
              <w:t>Lost 26-13</w:t>
            </w:r>
          </w:p>
        </w:tc>
        <w:tc>
          <w:tcPr>
            <w:tcW w:type="dxa" w:w="1440"/>
            <w:vAlign w:val="center"/>
            <w:tcMar>
              <w:top w:w="80" w:type="dxa"/>
              <w:left w:w="80" w:type="dxa"/>
              <w:bottom w:w="80" w:type="dxa"/>
              <w:right w:w="80" w:type="dxa"/>
            </w:tcMar>
          </w:tcPr>
          <w:p>
            <w:pPr>
              <w:jc w:val="center"/>
            </w:pPr>
            <w:r/>
            <w:r>
              <w:rPr>
                <w:rFonts w:ascii="Arial" w:hAnsi="Arial"/>
                <w:b w:val="0"/>
                <w:sz w:val="18"/>
              </w:rPr>
              <w:t>Loss</w:t>
            </w:r>
          </w:p>
        </w:tc>
        <w:tc>
          <w:tcPr>
            <w:tcW w:type="dxa" w:w="1440"/>
            <w:vAlign w:val="center"/>
            <w:tcMar>
              <w:top w:w="80" w:type="dxa"/>
              <w:left w:w="80" w:type="dxa"/>
              <w:bottom w:w="80" w:type="dxa"/>
              <w:right w:w="80" w:type="dxa"/>
            </w:tcMar>
          </w:tcPr>
          <w:p>
            <w:pPr>
              <w:jc w:val="center"/>
            </w:pPr>
            <w:r/>
            <w:r>
              <w:rPr>
                <w:rFonts w:ascii="Arial" w:hAnsi="Arial"/>
                <w:b w:val="0"/>
                <w:sz w:val="18"/>
              </w:rPr>
              <w:t>-10.00</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Matchup error. Ball State did not create enough scoring pressure. Require stronger offensive efficiency evidence for underdog moneylines.</w:t>
            </w:r>
          </w:p>
        </w:tc>
      </w:tr>
    </w:tbl>
    <w:p>
      <w:pPr>
        <w:spacing w:after="40"/>
      </w:pPr>
    </w:p>
    <w:p>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6. Maryland moneyline</w:t>
            </w:r>
          </w:p>
        </w:tc>
        <w:tc>
          <w:tcPr>
            <w:tcW w:type="dxa" w:w="1440"/>
            <w:vAlign w:val="center"/>
            <w:tcMar>
              <w:top w:w="80" w:type="dxa"/>
              <w:left w:w="80" w:type="dxa"/>
              <w:bottom w:w="80" w:type="dxa"/>
              <w:right w:w="80" w:type="dxa"/>
            </w:tcMar>
          </w:tcPr>
          <w:p>
            <w:pPr>
              <w:jc w:val="center"/>
            </w:pPr>
            <w:r/>
            <w:r>
              <w:rPr>
                <w:rFonts w:ascii="Arial" w:hAnsi="Arial"/>
                <w:b w:val="0"/>
                <w:sz w:val="18"/>
              </w:rPr>
              <w:t>+100</w:t>
            </w:r>
          </w:p>
        </w:tc>
        <w:tc>
          <w:tcPr>
            <w:tcW w:type="dxa" w:w="2448"/>
            <w:vAlign w:val="center"/>
            <w:tcMar>
              <w:top w:w="80" w:type="dxa"/>
              <w:left w:w="80" w:type="dxa"/>
              <w:bottom w:w="80" w:type="dxa"/>
              <w:right w:w="80" w:type="dxa"/>
            </w:tcMar>
          </w:tcPr>
          <w:p>
            <w:pPr>
              <w:jc w:val="center"/>
            </w:pPr>
            <w:r/>
            <w:r>
              <w:rPr>
                <w:rFonts w:ascii="Arial" w:hAnsi="Arial"/>
                <w:b w:val="0"/>
                <w:sz w:val="18"/>
              </w:rPr>
              <w:t>Lost 54-3</w:t>
            </w:r>
          </w:p>
        </w:tc>
        <w:tc>
          <w:tcPr>
            <w:tcW w:type="dxa" w:w="1440"/>
            <w:vAlign w:val="center"/>
            <w:tcMar>
              <w:top w:w="80" w:type="dxa"/>
              <w:left w:w="80" w:type="dxa"/>
              <w:bottom w:w="80" w:type="dxa"/>
              <w:right w:w="80" w:type="dxa"/>
            </w:tcMar>
          </w:tcPr>
          <w:p>
            <w:pPr>
              <w:jc w:val="center"/>
            </w:pPr>
            <w:r/>
            <w:r>
              <w:rPr>
                <w:rFonts w:ascii="Arial" w:hAnsi="Arial"/>
                <w:b w:val="0"/>
                <w:sz w:val="18"/>
              </w:rPr>
              <w:t>Loss</w:t>
            </w:r>
          </w:p>
        </w:tc>
        <w:tc>
          <w:tcPr>
            <w:tcW w:type="dxa" w:w="1440"/>
            <w:vAlign w:val="center"/>
            <w:tcMar>
              <w:top w:w="80" w:type="dxa"/>
              <w:left w:w="80" w:type="dxa"/>
              <w:bottom w:w="80" w:type="dxa"/>
              <w:right w:w="80" w:type="dxa"/>
            </w:tcMar>
          </w:tcPr>
          <w:p>
            <w:pPr>
              <w:jc w:val="center"/>
            </w:pPr>
            <w:r/>
            <w:r>
              <w:rPr>
                <w:rFonts w:ascii="Arial" w:hAnsi="Arial"/>
                <w:b w:val="0"/>
                <w:sz w:val="18"/>
              </w:rPr>
              <w:t>-10.00</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Major matchup and probability error. A near-even price was unjustified. Add a mismatch screen for line play, recent form and opponent strength.</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7. Colorado moneyline</w:t>
            </w:r>
          </w:p>
        </w:tc>
        <w:tc>
          <w:tcPr>
            <w:tcW w:type="dxa" w:w="1440"/>
            <w:vAlign w:val="center"/>
            <w:tcMar>
              <w:top w:w="80" w:type="dxa"/>
              <w:left w:w="80" w:type="dxa"/>
              <w:bottom w:w="80" w:type="dxa"/>
              <w:right w:w="80" w:type="dxa"/>
            </w:tcMar>
          </w:tcPr>
          <w:p>
            <w:pPr>
              <w:jc w:val="center"/>
            </w:pPr>
            <w:r/>
            <w:r>
              <w:rPr>
                <w:rFonts w:ascii="Arial" w:hAnsi="Arial"/>
                <w:b w:val="0"/>
                <w:sz w:val="18"/>
              </w:rPr>
              <w:t>+300</w:t>
            </w:r>
          </w:p>
        </w:tc>
        <w:tc>
          <w:tcPr>
            <w:tcW w:type="dxa" w:w="2448"/>
            <w:vAlign w:val="center"/>
            <w:tcMar>
              <w:top w:w="80" w:type="dxa"/>
              <w:left w:w="80" w:type="dxa"/>
              <w:bottom w:w="80" w:type="dxa"/>
              <w:right w:w="80" w:type="dxa"/>
            </w:tcMar>
          </w:tcPr>
          <w:p>
            <w:pPr>
              <w:jc w:val="center"/>
            </w:pPr>
            <w:r/>
            <w:r>
              <w:rPr>
                <w:rFonts w:ascii="Arial" w:hAnsi="Arial"/>
                <w:b w:val="0"/>
                <w:sz w:val="18"/>
              </w:rPr>
              <w:t>Lost 23-13</w:t>
            </w:r>
          </w:p>
        </w:tc>
        <w:tc>
          <w:tcPr>
            <w:tcW w:type="dxa" w:w="1440"/>
            <w:vAlign w:val="center"/>
            <w:tcMar>
              <w:top w:w="80" w:type="dxa"/>
              <w:left w:w="80" w:type="dxa"/>
              <w:bottom w:w="80" w:type="dxa"/>
              <w:right w:w="80" w:type="dxa"/>
            </w:tcMar>
          </w:tcPr>
          <w:p>
            <w:pPr>
              <w:jc w:val="center"/>
            </w:pPr>
            <w:r/>
            <w:r>
              <w:rPr>
                <w:rFonts w:ascii="Arial" w:hAnsi="Arial"/>
                <w:b w:val="0"/>
                <w:sz w:val="18"/>
              </w:rPr>
              <w:t>Loss</w:t>
            </w:r>
          </w:p>
        </w:tc>
        <w:tc>
          <w:tcPr>
            <w:tcW w:type="dxa" w:w="1440"/>
            <w:vAlign w:val="center"/>
            <w:tcMar>
              <w:top w:w="80" w:type="dxa"/>
              <w:left w:w="80" w:type="dxa"/>
              <w:bottom w:w="80" w:type="dxa"/>
              <w:right w:w="80" w:type="dxa"/>
            </w:tcMar>
          </w:tcPr>
          <w:p>
            <w:pPr>
              <w:jc w:val="center"/>
            </w:pPr>
            <w:r/>
            <w:r>
              <w:rPr>
                <w:rFonts w:ascii="Arial" w:hAnsi="Arial"/>
                <w:b w:val="0"/>
                <w:sz w:val="18"/>
              </w:rPr>
              <w:t>-10.00</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Flawed probability estimate. The high payout did not compensate for the low true win probability. Keep +200 or longer bets exceptional, not quota-driven.</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8. Wisconsin Penn State under 43.5</w:t>
            </w:r>
          </w:p>
        </w:tc>
        <w:tc>
          <w:tcPr>
            <w:tcW w:type="dxa" w:w="1440"/>
            <w:vAlign w:val="center"/>
            <w:tcMar>
              <w:top w:w="80" w:type="dxa"/>
              <w:left w:w="80" w:type="dxa"/>
              <w:bottom w:w="80" w:type="dxa"/>
              <w:right w:w="80" w:type="dxa"/>
            </w:tcMar>
          </w:tcPr>
          <w:p>
            <w:pPr>
              <w:jc w:val="center"/>
            </w:pPr>
            <w:r/>
            <w:r>
              <w:rPr>
                <w:rFonts w:ascii="Arial" w:hAnsi="Arial"/>
                <w:b w:val="0"/>
                <w:sz w:val="18"/>
              </w:rPr>
              <w:t>-105</w:t>
            </w:r>
          </w:p>
        </w:tc>
        <w:tc>
          <w:tcPr>
            <w:tcW w:type="dxa" w:w="2448"/>
            <w:vAlign w:val="center"/>
            <w:tcMar>
              <w:top w:w="80" w:type="dxa"/>
              <w:left w:w="80" w:type="dxa"/>
              <w:bottom w:w="80" w:type="dxa"/>
              <w:right w:w="80" w:type="dxa"/>
            </w:tcMar>
          </w:tcPr>
          <w:p>
            <w:pPr>
              <w:jc w:val="center"/>
            </w:pPr>
            <w:r/>
            <w:r>
              <w:rPr>
                <w:rFonts w:ascii="Arial" w:hAnsi="Arial"/>
                <w:b w:val="0"/>
                <w:sz w:val="18"/>
              </w:rPr>
              <w:t>Final 24-20</w:t>
            </w:r>
          </w:p>
        </w:tc>
        <w:tc>
          <w:tcPr>
            <w:tcW w:type="dxa" w:w="1440"/>
            <w:vAlign w:val="center"/>
            <w:tcMar>
              <w:top w:w="80" w:type="dxa"/>
              <w:left w:w="80" w:type="dxa"/>
              <w:bottom w:w="80" w:type="dxa"/>
              <w:right w:w="80" w:type="dxa"/>
            </w:tcMar>
          </w:tcPr>
          <w:p>
            <w:pPr>
              <w:jc w:val="center"/>
            </w:pPr>
            <w:r/>
            <w:r>
              <w:rPr>
                <w:rFonts w:ascii="Arial" w:hAnsi="Arial"/>
                <w:b w:val="0"/>
                <w:sz w:val="18"/>
              </w:rPr>
              <w:t>Loss</w:t>
            </w:r>
          </w:p>
        </w:tc>
        <w:tc>
          <w:tcPr>
            <w:tcW w:type="dxa" w:w="1440"/>
            <w:vAlign w:val="center"/>
            <w:tcMar>
              <w:top w:w="80" w:type="dxa"/>
              <w:left w:w="80" w:type="dxa"/>
              <w:bottom w:w="80" w:type="dxa"/>
              <w:right w:w="80" w:type="dxa"/>
            </w:tcMar>
          </w:tcPr>
          <w:p>
            <w:pPr>
              <w:jc w:val="center"/>
            </w:pPr>
            <w:r/>
            <w:r>
              <w:rPr>
                <w:rFonts w:ascii="Arial" w:hAnsi="Arial"/>
                <w:b w:val="0"/>
                <w:sz w:val="18"/>
              </w:rPr>
              <w:t>-10.00</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Good thesis with an unlucky result; the total missed by half a point. Classify primarily as ordinary variance, with a secondary price-quality concern.</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9. Michigan State moneyline</w:t>
            </w:r>
          </w:p>
        </w:tc>
        <w:tc>
          <w:tcPr>
            <w:tcW w:type="dxa" w:w="1440"/>
            <w:vAlign w:val="center"/>
            <w:tcMar>
              <w:top w:w="80" w:type="dxa"/>
              <w:left w:w="80" w:type="dxa"/>
              <w:bottom w:w="80" w:type="dxa"/>
              <w:right w:w="80" w:type="dxa"/>
            </w:tcMar>
          </w:tcPr>
          <w:p>
            <w:pPr>
              <w:jc w:val="center"/>
            </w:pPr>
            <w:r/>
            <w:r>
              <w:rPr>
                <w:rFonts w:ascii="Arial" w:hAnsi="Arial"/>
                <w:b w:val="0"/>
                <w:sz w:val="18"/>
              </w:rPr>
              <w:t>+185</w:t>
            </w:r>
          </w:p>
        </w:tc>
        <w:tc>
          <w:tcPr>
            <w:tcW w:type="dxa" w:w="2448"/>
            <w:vAlign w:val="center"/>
            <w:tcMar>
              <w:top w:w="80" w:type="dxa"/>
              <w:left w:w="80" w:type="dxa"/>
              <w:bottom w:w="80" w:type="dxa"/>
              <w:right w:w="80" w:type="dxa"/>
            </w:tcMar>
          </w:tcPr>
          <w:p>
            <w:pPr>
              <w:jc w:val="center"/>
            </w:pPr>
            <w:r/>
            <w:r>
              <w:rPr>
                <w:rFonts w:ascii="Arial" w:hAnsi="Arial"/>
                <w:b w:val="0"/>
                <w:sz w:val="18"/>
              </w:rPr>
              <w:t>Lost 31-13</w:t>
            </w:r>
          </w:p>
        </w:tc>
        <w:tc>
          <w:tcPr>
            <w:tcW w:type="dxa" w:w="1440"/>
            <w:vAlign w:val="center"/>
            <w:tcMar>
              <w:top w:w="80" w:type="dxa"/>
              <w:left w:w="80" w:type="dxa"/>
              <w:bottom w:w="80" w:type="dxa"/>
              <w:right w:w="80" w:type="dxa"/>
            </w:tcMar>
          </w:tcPr>
          <w:p>
            <w:pPr>
              <w:jc w:val="center"/>
            </w:pPr>
            <w:r/>
            <w:r>
              <w:rPr>
                <w:rFonts w:ascii="Arial" w:hAnsi="Arial"/>
                <w:b w:val="0"/>
                <w:sz w:val="18"/>
              </w:rPr>
              <w:t>Loss</w:t>
            </w:r>
          </w:p>
        </w:tc>
        <w:tc>
          <w:tcPr>
            <w:tcW w:type="dxa" w:w="1440"/>
            <w:vAlign w:val="center"/>
            <w:tcMar>
              <w:top w:w="80" w:type="dxa"/>
              <w:left w:w="80" w:type="dxa"/>
              <w:bottom w:w="80" w:type="dxa"/>
              <w:right w:w="80" w:type="dxa"/>
            </w:tcMar>
          </w:tcPr>
          <w:p>
            <w:pPr>
              <w:jc w:val="center"/>
            </w:pPr>
            <w:r/>
            <w:r>
              <w:rPr>
                <w:rFonts w:ascii="Arial" w:hAnsi="Arial"/>
                <w:b w:val="0"/>
                <w:sz w:val="18"/>
              </w:rPr>
              <w:t>-10.00</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Matchup and probability error. Nebraska was underrated and Michigan State lacked a credible winning path. Require a larger modeled edge for this odds band.</w:t>
            </w:r>
          </w:p>
        </w:tc>
      </w:tr>
    </w:tbl>
    <w:p>
      <w:pPr>
        <w:spacing w:after="40"/>
      </w:pP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c>
          <w:tcPr>
            <w:tcW w:type="dxa" w:w="2880"/>
            <w:vAlign w:val="center"/>
            <w:shd w:fill="D9EAF7"/>
            <w:tcMar>
              <w:top w:w="80" w:type="dxa"/>
              <w:left w:w="80" w:type="dxa"/>
              <w:bottom w:w="80" w:type="dxa"/>
              <w:right w:w="80" w:type="dxa"/>
            </w:tcMar>
          </w:tcPr>
          <w:p>
            <w:pPr>
              <w:jc w:val="left"/>
            </w:pPr>
            <w:r/>
            <w:r>
              <w:rPr>
                <w:rFonts w:ascii="Arial" w:hAnsi="Arial"/>
                <w:b/>
                <w:sz w:val="18"/>
              </w:rPr>
              <w:t>10. Oklahoma State moneyline</w:t>
            </w:r>
          </w:p>
        </w:tc>
        <w:tc>
          <w:tcPr>
            <w:tcW w:type="dxa" w:w="1440"/>
            <w:vAlign w:val="center"/>
            <w:tcMar>
              <w:top w:w="80" w:type="dxa"/>
              <w:left w:w="80" w:type="dxa"/>
              <w:bottom w:w="80" w:type="dxa"/>
              <w:right w:w="80" w:type="dxa"/>
            </w:tcMar>
          </w:tcPr>
          <w:p>
            <w:pPr>
              <w:jc w:val="center"/>
            </w:pPr>
            <w:r/>
            <w:r>
              <w:rPr>
                <w:rFonts w:ascii="Arial" w:hAnsi="Arial"/>
                <w:b w:val="0"/>
                <w:sz w:val="18"/>
              </w:rPr>
              <w:t>+105</w:t>
            </w:r>
          </w:p>
        </w:tc>
        <w:tc>
          <w:tcPr>
            <w:tcW w:type="dxa" w:w="2448"/>
            <w:vAlign w:val="center"/>
            <w:tcMar>
              <w:top w:w="80" w:type="dxa"/>
              <w:left w:w="80" w:type="dxa"/>
              <w:bottom w:w="80" w:type="dxa"/>
              <w:right w:w="80" w:type="dxa"/>
            </w:tcMar>
          </w:tcPr>
          <w:p>
            <w:pPr>
              <w:jc w:val="center"/>
            </w:pPr>
            <w:r/>
            <w:r>
              <w:rPr>
                <w:rFonts w:ascii="Arial" w:hAnsi="Arial"/>
                <w:b w:val="0"/>
                <w:sz w:val="18"/>
              </w:rPr>
              <w:t>Won 41-24</w:t>
            </w:r>
          </w:p>
        </w:tc>
        <w:tc>
          <w:tcPr>
            <w:tcW w:type="dxa" w:w="1440"/>
            <w:vAlign w:val="center"/>
            <w:tcMar>
              <w:top w:w="80" w:type="dxa"/>
              <w:left w:w="80" w:type="dxa"/>
              <w:bottom w:w="80" w:type="dxa"/>
              <w:right w:w="80" w:type="dxa"/>
            </w:tcMar>
          </w:tcPr>
          <w:p>
            <w:pPr>
              <w:jc w:val="center"/>
            </w:pPr>
            <w:r/>
            <w:r>
              <w:rPr>
                <w:rFonts w:ascii="Arial" w:hAnsi="Arial"/>
                <w:b w:val="0"/>
                <w:sz w:val="18"/>
              </w:rPr>
              <w:t>Win</w:t>
            </w:r>
          </w:p>
        </w:tc>
        <w:tc>
          <w:tcPr>
            <w:tcW w:type="dxa" w:w="1440"/>
            <w:vAlign w:val="center"/>
            <w:tcMar>
              <w:top w:w="80" w:type="dxa"/>
              <w:left w:w="80" w:type="dxa"/>
              <w:bottom w:w="80" w:type="dxa"/>
              <w:right w:w="80" w:type="dxa"/>
            </w:tcMar>
          </w:tcPr>
          <w:p>
            <w:pPr>
              <w:jc w:val="center"/>
            </w:pPr>
            <w:r/>
            <w:r>
              <w:rPr>
                <w:rFonts w:ascii="Arial" w:hAnsi="Arial"/>
                <w:b w:val="0"/>
                <w:sz w:val="18"/>
              </w:rPr>
              <w:t>+10.50</w:t>
            </w:r>
          </w:p>
        </w:tc>
      </w:tr>
      <w:tr>
        <w:tc>
          <w:tcPr>
            <w:tcW w:type="dxa" w:w="1440"/>
            <w:gridSpan w:val="5"/>
            <w:vAlign w:val="center"/>
            <w:shd w:fill="F2F2F2"/>
            <w:tcMar>
              <w:top w:w="80" w:type="dxa"/>
              <w:left w:w="80" w:type="dxa"/>
              <w:bottom w:w="80" w:type="dxa"/>
              <w:right w:w="80" w:type="dxa"/>
            </w:tcMar>
          </w:tcPr>
          <w:p>
            <w:pPr>
              <w:jc w:val="left"/>
            </w:pPr>
            <w:r/>
            <w:r>
              <w:rPr>
                <w:rFonts w:ascii="Arial" w:hAnsi="Arial"/>
                <w:b w:val="0"/>
                <w:sz w:val="18"/>
              </w:rPr>
              <w:t>Post pick analysis: Good decision supported by a decisive result. Preserve the selection logic, while avoiding outcome-based overconfidence from one win.</w:t>
            </w:r>
          </w:p>
        </w:tc>
      </w:tr>
    </w:tbl>
    <w:p>
      <w:pPr>
        <w:spacing w:after="40"/>
      </w:pPr>
    </w:p>
    <w:p>
      <w:pPr>
        <w:pStyle w:val="Heading1"/>
      </w:pPr>
      <w:r>
        <w:t>Today Pending Card</w:t>
      </w:r>
    </w:p>
    <w:p>
      <w:r>
        <w:t>The card uses one selection per game, contains no props or parlays, and avoids speculative prices above +200. Estimated probability must exceed the recorded break-even probability.</w:t>
      </w:r>
    </w:p>
    <w:tbl>
      <w:tblPr>
        <w:tblStyle w:val="TableGrid"/>
        <w:tblW w:type="auto" w:w="0"/>
        <w:jc w:val="center"/>
        <w:tblLayout w:type="fixed"/>
        <w:tblLook w:firstColumn="1" w:firstRow="1" w:lastColumn="0" w:lastRow="0" w:noHBand="0" w:noVBand="1" w:val="04A0"/>
      </w:tblPr>
      <w:tblGrid>
        <w:gridCol w:w="1776"/>
        <w:gridCol w:w="1776"/>
        <w:gridCol w:w="1776"/>
        <w:gridCol w:w="1776"/>
        <w:gridCol w:w="1776"/>
        <w:gridCol w:w="1776"/>
      </w:tblGrid>
      <w:tr>
        <w:tc>
          <w:tcPr>
            <w:tcW w:type="dxa" w:w="2448"/>
            <w:vAlign w:val="center"/>
            <w:shd w:fill="D9EAF7"/>
            <w:tcMar>
              <w:top w:w="80" w:type="dxa"/>
              <w:left w:w="80" w:type="dxa"/>
              <w:bottom w:w="80" w:type="dxa"/>
              <w:right w:w="80" w:type="dxa"/>
            </w:tcMar>
          </w:tcPr>
          <w:p>
            <w:pPr>
              <w:jc w:val="left"/>
            </w:pPr>
            <w:r/>
            <w:r>
              <w:rPr>
                <w:rFonts w:ascii="Arial" w:hAnsi="Arial"/>
                <w:b/>
                <w:sz w:val="17"/>
              </w:rPr>
              <w:t>1. Browns +2.5 vs Panthers</w:t>
            </w:r>
          </w:p>
        </w:tc>
        <w:tc>
          <w:tcPr>
            <w:tcW w:type="dxa" w:w="1296"/>
            <w:vAlign w:val="center"/>
            <w:tcMar>
              <w:top w:w="80" w:type="dxa"/>
              <w:left w:w="80" w:type="dxa"/>
              <w:bottom w:w="80" w:type="dxa"/>
              <w:right w:w="80" w:type="dxa"/>
            </w:tcMar>
          </w:tcPr>
          <w:p>
            <w:pPr>
              <w:jc w:val="center"/>
            </w:pPr>
            <w:r/>
            <w:r>
              <w:rPr>
                <w:rFonts w:ascii="Arial" w:hAnsi="Arial"/>
                <w:b w:val="0"/>
                <w:sz w:val="17"/>
              </w:rPr>
              <w:t>1:00 PM</w:t>
            </w:r>
          </w:p>
        </w:tc>
        <w:tc>
          <w:tcPr>
            <w:tcW w:type="dxa" w:w="1800"/>
            <w:vAlign w:val="center"/>
            <w:tcMar>
              <w:top w:w="80" w:type="dxa"/>
              <w:left w:w="80" w:type="dxa"/>
              <w:bottom w:w="80" w:type="dxa"/>
              <w:right w:w="80" w:type="dxa"/>
            </w:tcMar>
          </w:tcPr>
          <w:p>
            <w:pPr>
              <w:jc w:val="center"/>
            </w:pPr>
            <w:r/>
            <w:r>
              <w:rPr>
                <w:rFonts w:ascii="Arial" w:hAnsi="Arial"/>
                <w:b w:val="0"/>
                <w:sz w:val="17"/>
              </w:rPr>
              <w:t>Consensus CBS</w:t>
            </w:r>
          </w:p>
        </w:tc>
        <w:tc>
          <w:tcPr>
            <w:tcW w:type="dxa" w:w="1152"/>
            <w:vAlign w:val="center"/>
            <w:tcMar>
              <w:top w:w="80" w:type="dxa"/>
              <w:left w:w="80" w:type="dxa"/>
              <w:bottom w:w="80" w:type="dxa"/>
              <w:right w:w="80" w:type="dxa"/>
            </w:tcMar>
          </w:tcPr>
          <w:p>
            <w:pPr>
              <w:jc w:val="center"/>
            </w:pPr>
            <w:r/>
            <w:r>
              <w:rPr>
                <w:rFonts w:ascii="Arial" w:hAnsi="Arial"/>
                <w:b w:val="0"/>
                <w:sz w:val="17"/>
              </w:rPr>
              <w:t>-110</w:t>
            </w:r>
          </w:p>
        </w:tc>
        <w:tc>
          <w:tcPr>
            <w:tcW w:type="dxa" w:w="1800"/>
            <w:vAlign w:val="center"/>
            <w:tcMar>
              <w:top w:w="80" w:type="dxa"/>
              <w:left w:w="80" w:type="dxa"/>
              <w:bottom w:w="80" w:type="dxa"/>
              <w:right w:w="80" w:type="dxa"/>
            </w:tcMar>
          </w:tcPr>
          <w:p>
            <w:pPr>
              <w:jc w:val="center"/>
            </w:pPr>
            <w:r/>
            <w:r>
              <w:rPr>
                <w:rFonts w:ascii="Arial" w:hAnsi="Arial"/>
                <w:b w:val="0"/>
                <w:sz w:val="17"/>
              </w:rPr>
              <w:t>54.0% vs 52.4%</w:t>
            </w:r>
          </w:p>
        </w:tc>
        <w:tc>
          <w:tcPr>
            <w:tcW w:type="dxa" w:w="1152"/>
            <w:vAlign w:val="center"/>
            <w:tcMar>
              <w:top w:w="80" w:type="dxa"/>
              <w:left w:w="80" w:type="dxa"/>
              <w:bottom w:w="80" w:type="dxa"/>
              <w:right w:w="80" w:type="dxa"/>
            </w:tcMar>
          </w:tcPr>
          <w:p>
            <w:pPr>
              <w:jc w:val="center"/>
            </w:pPr>
            <w:r/>
            <w:r>
              <w:rPr>
                <w:rFonts w:ascii="Arial" w:hAnsi="Arial"/>
                <w:b w:val="0"/>
                <w:sz w:val="17"/>
              </w:rPr>
              <w:t>9.09 units</w:t>
            </w:r>
          </w:p>
        </w:tc>
      </w:tr>
      <w:tr>
        <w:tc>
          <w:tcPr>
            <w:tcW w:type="dxa" w:w="1152"/>
            <w:gridSpan w:val="6"/>
            <w:vAlign w:val="center"/>
            <w:shd w:fill="F2F2F2"/>
            <w:tcMar>
              <w:top w:w="80" w:type="dxa"/>
              <w:left w:w="80" w:type="dxa"/>
              <w:bottom w:w="80" w:type="dxa"/>
              <w:right w:w="80" w:type="dxa"/>
            </w:tcMar>
          </w:tcPr>
          <w:p>
            <w:pPr>
              <w:jc w:val="left"/>
            </w:pPr>
            <w:r/>
            <w:r>
              <w:rPr>
                <w:rFonts w:ascii="Arial" w:hAnsi="Arial"/>
                <w:b w:val="0"/>
                <w:sz w:val="17"/>
              </w:rPr>
              <w:t>Pre pick analysis: Spread protection in a game priced close to even. Cleveland needs only to stay within a field goal. Algorithm status: no immediate adjustment; grade after the final result and review closing-line value where available.</w:t>
            </w:r>
          </w:p>
        </w:tc>
      </w:tr>
    </w:tbl>
    <w:p>
      <w:pPr>
        <w:spacing w:after="40"/>
      </w:pPr>
    </w:p>
    <w:tbl>
      <w:tblPr>
        <w:tblStyle w:val="TableGrid"/>
        <w:tblW w:type="auto" w:w="0"/>
        <w:jc w:val="center"/>
        <w:tblLayout w:type="fixed"/>
        <w:tblLook w:firstColumn="1" w:firstRow="1" w:lastColumn="0" w:lastRow="0" w:noHBand="0" w:noVBand="1" w:val="04A0"/>
      </w:tblPr>
      <w:tblGrid>
        <w:gridCol w:w="1776"/>
        <w:gridCol w:w="1776"/>
        <w:gridCol w:w="1776"/>
        <w:gridCol w:w="1776"/>
        <w:gridCol w:w="1776"/>
        <w:gridCol w:w="1776"/>
      </w:tblGrid>
      <w:tr>
        <w:tc>
          <w:tcPr>
            <w:tcW w:type="dxa" w:w="2448"/>
            <w:vAlign w:val="center"/>
            <w:shd w:fill="D9EAF7"/>
            <w:tcMar>
              <w:top w:w="80" w:type="dxa"/>
              <w:left w:w="80" w:type="dxa"/>
              <w:bottom w:w="80" w:type="dxa"/>
              <w:right w:w="80" w:type="dxa"/>
            </w:tcMar>
          </w:tcPr>
          <w:p>
            <w:pPr>
              <w:jc w:val="left"/>
            </w:pPr>
            <w:r/>
            <w:r>
              <w:rPr>
                <w:rFonts w:ascii="Arial" w:hAnsi="Arial"/>
                <w:b/>
                <w:sz w:val="17"/>
              </w:rPr>
              <w:t>2. Steelers +3.5 vs Bengals</w:t>
            </w:r>
          </w:p>
        </w:tc>
        <w:tc>
          <w:tcPr>
            <w:tcW w:type="dxa" w:w="1296"/>
            <w:vAlign w:val="center"/>
            <w:tcMar>
              <w:top w:w="80" w:type="dxa"/>
              <w:left w:w="80" w:type="dxa"/>
              <w:bottom w:w="80" w:type="dxa"/>
              <w:right w:w="80" w:type="dxa"/>
            </w:tcMar>
          </w:tcPr>
          <w:p>
            <w:pPr>
              <w:jc w:val="center"/>
            </w:pPr>
            <w:r/>
            <w:r>
              <w:rPr>
                <w:rFonts w:ascii="Arial" w:hAnsi="Arial"/>
                <w:b w:val="0"/>
                <w:sz w:val="17"/>
              </w:rPr>
              <w:t>1:00 PM</w:t>
            </w:r>
          </w:p>
        </w:tc>
        <w:tc>
          <w:tcPr>
            <w:tcW w:type="dxa" w:w="1800"/>
            <w:vAlign w:val="center"/>
            <w:tcMar>
              <w:top w:w="80" w:type="dxa"/>
              <w:left w:w="80" w:type="dxa"/>
              <w:bottom w:w="80" w:type="dxa"/>
              <w:right w:w="80" w:type="dxa"/>
            </w:tcMar>
          </w:tcPr>
          <w:p>
            <w:pPr>
              <w:jc w:val="center"/>
            </w:pPr>
            <w:r/>
            <w:r>
              <w:rPr>
                <w:rFonts w:ascii="Arial" w:hAnsi="Arial"/>
                <w:b w:val="0"/>
                <w:sz w:val="17"/>
              </w:rPr>
              <w:t>Consensus CBS</w:t>
            </w:r>
          </w:p>
        </w:tc>
        <w:tc>
          <w:tcPr>
            <w:tcW w:type="dxa" w:w="1152"/>
            <w:vAlign w:val="center"/>
            <w:tcMar>
              <w:top w:w="80" w:type="dxa"/>
              <w:left w:w="80" w:type="dxa"/>
              <w:bottom w:w="80" w:type="dxa"/>
              <w:right w:w="80" w:type="dxa"/>
            </w:tcMar>
          </w:tcPr>
          <w:p>
            <w:pPr>
              <w:jc w:val="center"/>
            </w:pPr>
            <w:r/>
            <w:r>
              <w:rPr>
                <w:rFonts w:ascii="Arial" w:hAnsi="Arial"/>
                <w:b w:val="0"/>
                <w:sz w:val="17"/>
              </w:rPr>
              <w:t>-110</w:t>
            </w:r>
          </w:p>
        </w:tc>
        <w:tc>
          <w:tcPr>
            <w:tcW w:type="dxa" w:w="1800"/>
            <w:vAlign w:val="center"/>
            <w:tcMar>
              <w:top w:w="80" w:type="dxa"/>
              <w:left w:w="80" w:type="dxa"/>
              <w:bottom w:w="80" w:type="dxa"/>
              <w:right w:w="80" w:type="dxa"/>
            </w:tcMar>
          </w:tcPr>
          <w:p>
            <w:pPr>
              <w:jc w:val="center"/>
            </w:pPr>
            <w:r/>
            <w:r>
              <w:rPr>
                <w:rFonts w:ascii="Arial" w:hAnsi="Arial"/>
                <w:b w:val="0"/>
                <w:sz w:val="17"/>
              </w:rPr>
              <w:t>54.0% vs 52.4%</w:t>
            </w:r>
          </w:p>
        </w:tc>
        <w:tc>
          <w:tcPr>
            <w:tcW w:type="dxa" w:w="1152"/>
            <w:vAlign w:val="center"/>
            <w:tcMar>
              <w:top w:w="80" w:type="dxa"/>
              <w:left w:w="80" w:type="dxa"/>
              <w:bottom w:w="80" w:type="dxa"/>
              <w:right w:w="80" w:type="dxa"/>
            </w:tcMar>
          </w:tcPr>
          <w:p>
            <w:pPr>
              <w:jc w:val="center"/>
            </w:pPr>
            <w:r/>
            <w:r>
              <w:rPr>
                <w:rFonts w:ascii="Arial" w:hAnsi="Arial"/>
                <w:b w:val="0"/>
                <w:sz w:val="17"/>
              </w:rPr>
              <w:t>9.09 units</w:t>
            </w:r>
          </w:p>
        </w:tc>
      </w:tr>
      <w:tr>
        <w:tc>
          <w:tcPr>
            <w:tcW w:type="dxa" w:w="1152"/>
            <w:gridSpan w:val="6"/>
            <w:vAlign w:val="center"/>
            <w:shd w:fill="F2F2F2"/>
            <w:tcMar>
              <w:top w:w="80" w:type="dxa"/>
              <w:left w:w="80" w:type="dxa"/>
              <w:bottom w:w="80" w:type="dxa"/>
              <w:right w:w="80" w:type="dxa"/>
            </w:tcMar>
          </w:tcPr>
          <w:p>
            <w:pPr>
              <w:jc w:val="left"/>
            </w:pPr>
            <w:r/>
            <w:r>
              <w:rPr>
                <w:rFonts w:ascii="Arial" w:hAnsi="Arial"/>
                <w:b w:val="0"/>
                <w:sz w:val="17"/>
              </w:rPr>
              <w:t>Pre pick analysis: The hook above three adds meaningful protection in a divisional matchup. Algorithm status: no immediate adjustment; grade after the final result and review closing-line value where available.</w:t>
            </w:r>
          </w:p>
        </w:tc>
      </w:tr>
    </w:tbl>
    <w:p>
      <w:pPr>
        <w:spacing w:after="40"/>
      </w:pPr>
    </w:p>
    <w:tbl>
      <w:tblPr>
        <w:tblStyle w:val="TableGrid"/>
        <w:tblW w:type="auto" w:w="0"/>
        <w:jc w:val="center"/>
        <w:tblLayout w:type="fixed"/>
        <w:tblLook w:firstColumn="1" w:firstRow="1" w:lastColumn="0" w:lastRow="0" w:noHBand="0" w:noVBand="1" w:val="04A0"/>
      </w:tblPr>
      <w:tblGrid>
        <w:gridCol w:w="1776"/>
        <w:gridCol w:w="1776"/>
        <w:gridCol w:w="1776"/>
        <w:gridCol w:w="1776"/>
        <w:gridCol w:w="1776"/>
        <w:gridCol w:w="1776"/>
      </w:tblGrid>
      <w:tr>
        <w:tc>
          <w:tcPr>
            <w:tcW w:type="dxa" w:w="2448"/>
            <w:vAlign w:val="center"/>
            <w:shd w:fill="D9EAF7"/>
            <w:tcMar>
              <w:top w:w="80" w:type="dxa"/>
              <w:left w:w="80" w:type="dxa"/>
              <w:bottom w:w="80" w:type="dxa"/>
              <w:right w:w="80" w:type="dxa"/>
            </w:tcMar>
          </w:tcPr>
          <w:p>
            <w:pPr>
              <w:jc w:val="left"/>
            </w:pPr>
            <w:r/>
            <w:r>
              <w:rPr>
                <w:rFonts w:ascii="Arial" w:hAnsi="Arial"/>
                <w:b/>
                <w:sz w:val="17"/>
              </w:rPr>
              <w:t>3. Patriots +2.5 vs Jaguars</w:t>
            </w:r>
          </w:p>
        </w:tc>
        <w:tc>
          <w:tcPr>
            <w:tcW w:type="dxa" w:w="1296"/>
            <w:vAlign w:val="center"/>
            <w:tcMar>
              <w:top w:w="80" w:type="dxa"/>
              <w:left w:w="80" w:type="dxa"/>
              <w:bottom w:w="80" w:type="dxa"/>
              <w:right w:w="80" w:type="dxa"/>
            </w:tcMar>
          </w:tcPr>
          <w:p>
            <w:pPr>
              <w:jc w:val="center"/>
            </w:pPr>
            <w:r/>
            <w:r>
              <w:rPr>
                <w:rFonts w:ascii="Arial" w:hAnsi="Arial"/>
                <w:b w:val="0"/>
                <w:sz w:val="17"/>
              </w:rPr>
              <w:t>1:00 PM</w:t>
            </w:r>
          </w:p>
        </w:tc>
        <w:tc>
          <w:tcPr>
            <w:tcW w:type="dxa" w:w="1800"/>
            <w:vAlign w:val="center"/>
            <w:tcMar>
              <w:top w:w="80" w:type="dxa"/>
              <w:left w:w="80" w:type="dxa"/>
              <w:bottom w:w="80" w:type="dxa"/>
              <w:right w:w="80" w:type="dxa"/>
            </w:tcMar>
          </w:tcPr>
          <w:p>
            <w:pPr>
              <w:jc w:val="center"/>
            </w:pPr>
            <w:r/>
            <w:r>
              <w:rPr>
                <w:rFonts w:ascii="Arial" w:hAnsi="Arial"/>
                <w:b w:val="0"/>
                <w:sz w:val="17"/>
              </w:rPr>
              <w:t>FanDuel</w:t>
            </w:r>
          </w:p>
        </w:tc>
        <w:tc>
          <w:tcPr>
            <w:tcW w:type="dxa" w:w="1152"/>
            <w:vAlign w:val="center"/>
            <w:tcMar>
              <w:top w:w="80" w:type="dxa"/>
              <w:left w:w="80" w:type="dxa"/>
              <w:bottom w:w="80" w:type="dxa"/>
              <w:right w:w="80" w:type="dxa"/>
            </w:tcMar>
          </w:tcPr>
          <w:p>
            <w:pPr>
              <w:jc w:val="center"/>
            </w:pPr>
            <w:r/>
            <w:r>
              <w:rPr>
                <w:rFonts w:ascii="Arial" w:hAnsi="Arial"/>
                <w:b w:val="0"/>
                <w:sz w:val="17"/>
              </w:rPr>
              <w:t>-104</w:t>
            </w:r>
          </w:p>
        </w:tc>
        <w:tc>
          <w:tcPr>
            <w:tcW w:type="dxa" w:w="1800"/>
            <w:vAlign w:val="center"/>
            <w:tcMar>
              <w:top w:w="80" w:type="dxa"/>
              <w:left w:w="80" w:type="dxa"/>
              <w:bottom w:w="80" w:type="dxa"/>
              <w:right w:w="80" w:type="dxa"/>
            </w:tcMar>
          </w:tcPr>
          <w:p>
            <w:pPr>
              <w:jc w:val="center"/>
            </w:pPr>
            <w:r/>
            <w:r>
              <w:rPr>
                <w:rFonts w:ascii="Arial" w:hAnsi="Arial"/>
                <w:b w:val="0"/>
                <w:sz w:val="17"/>
              </w:rPr>
              <w:t>53.0% vs 51.0%</w:t>
            </w:r>
          </w:p>
        </w:tc>
        <w:tc>
          <w:tcPr>
            <w:tcW w:type="dxa" w:w="1152"/>
            <w:vAlign w:val="center"/>
            <w:tcMar>
              <w:top w:w="80" w:type="dxa"/>
              <w:left w:w="80" w:type="dxa"/>
              <w:bottom w:w="80" w:type="dxa"/>
              <w:right w:w="80" w:type="dxa"/>
            </w:tcMar>
          </w:tcPr>
          <w:p>
            <w:pPr>
              <w:jc w:val="center"/>
            </w:pPr>
            <w:r/>
            <w:r>
              <w:rPr>
                <w:rFonts w:ascii="Arial" w:hAnsi="Arial"/>
                <w:b w:val="0"/>
                <w:sz w:val="17"/>
              </w:rPr>
              <w:t>9.62 units</w:t>
            </w:r>
          </w:p>
        </w:tc>
      </w:tr>
      <w:tr>
        <w:tc>
          <w:tcPr>
            <w:tcW w:type="dxa" w:w="1152"/>
            <w:gridSpan w:val="6"/>
            <w:vAlign w:val="center"/>
            <w:shd w:fill="F2F2F2"/>
            <w:tcMar>
              <w:top w:w="80" w:type="dxa"/>
              <w:left w:w="80" w:type="dxa"/>
              <w:bottom w:w="80" w:type="dxa"/>
              <w:right w:w="80" w:type="dxa"/>
            </w:tcMar>
          </w:tcPr>
          <w:p>
            <w:pPr>
              <w:jc w:val="left"/>
            </w:pPr>
            <w:r/>
            <w:r>
              <w:rPr>
                <w:rFonts w:ascii="Arial" w:hAnsi="Arial"/>
                <w:b w:val="0"/>
                <w:sz w:val="17"/>
              </w:rPr>
              <w:t>Pre pick analysis: Near-even pricing and a modest modeled edge without requiring an outright upset. Algorithm status: no immediate adjustment; grade after the final result and review closing-line value where available.</w:t>
            </w:r>
          </w:p>
        </w:tc>
      </w:tr>
    </w:tbl>
    <w:p>
      <w:pPr>
        <w:spacing w:after="40"/>
      </w:pPr>
    </w:p>
    <w:tbl>
      <w:tblPr>
        <w:tblStyle w:val="TableGrid"/>
        <w:tblW w:type="auto" w:w="0"/>
        <w:jc w:val="center"/>
        <w:tblLayout w:type="fixed"/>
        <w:tblLook w:firstColumn="1" w:firstRow="1" w:lastColumn="0" w:lastRow="0" w:noHBand="0" w:noVBand="1" w:val="04A0"/>
      </w:tblPr>
      <w:tblGrid>
        <w:gridCol w:w="1776"/>
        <w:gridCol w:w="1776"/>
        <w:gridCol w:w="1776"/>
        <w:gridCol w:w="1776"/>
        <w:gridCol w:w="1776"/>
        <w:gridCol w:w="1776"/>
      </w:tblGrid>
      <w:tr>
        <w:tc>
          <w:tcPr>
            <w:tcW w:type="dxa" w:w="2448"/>
            <w:vAlign w:val="center"/>
            <w:shd w:fill="D9EAF7"/>
            <w:tcMar>
              <w:top w:w="80" w:type="dxa"/>
              <w:left w:w="80" w:type="dxa"/>
              <w:bottom w:w="80" w:type="dxa"/>
              <w:right w:w="80" w:type="dxa"/>
            </w:tcMar>
          </w:tcPr>
          <w:p>
            <w:pPr>
              <w:jc w:val="left"/>
            </w:pPr>
            <w:r/>
            <w:r>
              <w:rPr>
                <w:rFonts w:ascii="Arial" w:hAnsi="Arial"/>
                <w:b/>
                <w:sz w:val="17"/>
              </w:rPr>
              <w:t>4. Dolphins +10.5 vs Chiefs</w:t>
            </w:r>
          </w:p>
        </w:tc>
        <w:tc>
          <w:tcPr>
            <w:tcW w:type="dxa" w:w="1296"/>
            <w:vAlign w:val="center"/>
            <w:tcMar>
              <w:top w:w="80" w:type="dxa"/>
              <w:left w:w="80" w:type="dxa"/>
              <w:bottom w:w="80" w:type="dxa"/>
              <w:right w:w="80" w:type="dxa"/>
            </w:tcMar>
          </w:tcPr>
          <w:p>
            <w:pPr>
              <w:jc w:val="center"/>
            </w:pPr>
            <w:r/>
            <w:r>
              <w:rPr>
                <w:rFonts w:ascii="Arial" w:hAnsi="Arial"/>
                <w:b w:val="0"/>
                <w:sz w:val="17"/>
              </w:rPr>
              <w:t>1:00 PM</w:t>
            </w:r>
          </w:p>
        </w:tc>
        <w:tc>
          <w:tcPr>
            <w:tcW w:type="dxa" w:w="1800"/>
            <w:vAlign w:val="center"/>
            <w:tcMar>
              <w:top w:w="80" w:type="dxa"/>
              <w:left w:w="80" w:type="dxa"/>
              <w:bottom w:w="80" w:type="dxa"/>
              <w:right w:w="80" w:type="dxa"/>
            </w:tcMar>
          </w:tcPr>
          <w:p>
            <w:pPr>
              <w:jc w:val="center"/>
            </w:pPr>
            <w:r/>
            <w:r>
              <w:rPr>
                <w:rFonts w:ascii="Arial" w:hAnsi="Arial"/>
                <w:b w:val="0"/>
                <w:sz w:val="17"/>
              </w:rPr>
              <w:t>Consensus</w:t>
            </w:r>
          </w:p>
        </w:tc>
        <w:tc>
          <w:tcPr>
            <w:tcW w:type="dxa" w:w="1152"/>
            <w:vAlign w:val="center"/>
            <w:tcMar>
              <w:top w:w="80" w:type="dxa"/>
              <w:left w:w="80" w:type="dxa"/>
              <w:bottom w:w="80" w:type="dxa"/>
              <w:right w:w="80" w:type="dxa"/>
            </w:tcMar>
          </w:tcPr>
          <w:p>
            <w:pPr>
              <w:jc w:val="center"/>
            </w:pPr>
            <w:r/>
            <w:r>
              <w:rPr>
                <w:rFonts w:ascii="Arial" w:hAnsi="Arial"/>
                <w:b w:val="0"/>
                <w:sz w:val="17"/>
              </w:rPr>
              <w:t>-110</w:t>
            </w:r>
          </w:p>
        </w:tc>
        <w:tc>
          <w:tcPr>
            <w:tcW w:type="dxa" w:w="1800"/>
            <w:vAlign w:val="center"/>
            <w:tcMar>
              <w:top w:w="80" w:type="dxa"/>
              <w:left w:w="80" w:type="dxa"/>
              <w:bottom w:w="80" w:type="dxa"/>
              <w:right w:w="80" w:type="dxa"/>
            </w:tcMar>
          </w:tcPr>
          <w:p>
            <w:pPr>
              <w:jc w:val="center"/>
            </w:pPr>
            <w:r/>
            <w:r>
              <w:rPr>
                <w:rFonts w:ascii="Arial" w:hAnsi="Arial"/>
                <w:b w:val="0"/>
                <w:sz w:val="17"/>
              </w:rPr>
              <w:t>54.0% vs 52.4%</w:t>
            </w:r>
          </w:p>
        </w:tc>
        <w:tc>
          <w:tcPr>
            <w:tcW w:type="dxa" w:w="1152"/>
            <w:vAlign w:val="center"/>
            <w:tcMar>
              <w:top w:w="80" w:type="dxa"/>
              <w:left w:w="80" w:type="dxa"/>
              <w:bottom w:w="80" w:type="dxa"/>
              <w:right w:w="80" w:type="dxa"/>
            </w:tcMar>
          </w:tcPr>
          <w:p>
            <w:pPr>
              <w:jc w:val="center"/>
            </w:pPr>
            <w:r/>
            <w:r>
              <w:rPr>
                <w:rFonts w:ascii="Arial" w:hAnsi="Arial"/>
                <w:b w:val="0"/>
                <w:sz w:val="17"/>
              </w:rPr>
              <w:t>9.09 units</w:t>
            </w:r>
          </w:p>
        </w:tc>
      </w:tr>
      <w:tr>
        <w:tc>
          <w:tcPr>
            <w:tcW w:type="dxa" w:w="1152"/>
            <w:gridSpan w:val="6"/>
            <w:vAlign w:val="center"/>
            <w:shd w:fill="F2F2F2"/>
            <w:tcMar>
              <w:top w:w="80" w:type="dxa"/>
              <w:left w:w="80" w:type="dxa"/>
              <w:bottom w:w="80" w:type="dxa"/>
              <w:right w:w="80" w:type="dxa"/>
            </w:tcMar>
          </w:tcPr>
          <w:p>
            <w:pPr>
              <w:jc w:val="left"/>
            </w:pPr>
            <w:r/>
            <w:r>
              <w:rPr>
                <w:rFonts w:ascii="Arial" w:hAnsi="Arial"/>
                <w:b w:val="0"/>
                <w:sz w:val="17"/>
              </w:rPr>
              <w:t>Pre pick analysis: Double-digit cushion offers value if Miami keeps the game within two scores. Algorithm status: no immediate adjustment; grade after the final result and review closing-line value where available.</w:t>
            </w:r>
          </w:p>
        </w:tc>
      </w:tr>
    </w:tbl>
    <w:p>
      <w:pPr>
        <w:spacing w:after="40"/>
      </w:pPr>
    </w:p>
    <w:tbl>
      <w:tblPr>
        <w:tblStyle w:val="TableGrid"/>
        <w:tblW w:type="auto" w:w="0"/>
        <w:jc w:val="center"/>
        <w:tblLayout w:type="fixed"/>
        <w:tblLook w:firstColumn="1" w:firstRow="1" w:lastColumn="0" w:lastRow="0" w:noHBand="0" w:noVBand="1" w:val="04A0"/>
      </w:tblPr>
      <w:tblGrid>
        <w:gridCol w:w="1776"/>
        <w:gridCol w:w="1776"/>
        <w:gridCol w:w="1776"/>
        <w:gridCol w:w="1776"/>
        <w:gridCol w:w="1776"/>
        <w:gridCol w:w="1776"/>
      </w:tblGrid>
      <w:tr>
        <w:tc>
          <w:tcPr>
            <w:tcW w:type="dxa" w:w="2448"/>
            <w:vAlign w:val="center"/>
            <w:shd w:fill="D9EAF7"/>
            <w:tcMar>
              <w:top w:w="80" w:type="dxa"/>
              <w:left w:w="80" w:type="dxa"/>
              <w:bottom w:w="80" w:type="dxa"/>
              <w:right w:w="80" w:type="dxa"/>
            </w:tcMar>
          </w:tcPr>
          <w:p>
            <w:pPr>
              <w:jc w:val="left"/>
            </w:pPr>
            <w:r/>
            <w:r>
              <w:rPr>
                <w:rFonts w:ascii="Arial" w:hAnsi="Arial"/>
                <w:b/>
                <w:sz w:val="17"/>
              </w:rPr>
              <w:t>5. Colts moneyline vs Texans</w:t>
            </w:r>
          </w:p>
        </w:tc>
        <w:tc>
          <w:tcPr>
            <w:tcW w:type="dxa" w:w="1296"/>
            <w:vAlign w:val="center"/>
            <w:tcMar>
              <w:top w:w="80" w:type="dxa"/>
              <w:left w:w="80" w:type="dxa"/>
              <w:bottom w:w="80" w:type="dxa"/>
              <w:right w:w="80" w:type="dxa"/>
            </w:tcMar>
          </w:tcPr>
          <w:p>
            <w:pPr>
              <w:jc w:val="center"/>
            </w:pPr>
            <w:r/>
            <w:r>
              <w:rPr>
                <w:rFonts w:ascii="Arial" w:hAnsi="Arial"/>
                <w:b w:val="0"/>
                <w:sz w:val="17"/>
              </w:rPr>
              <w:t>1:00 PM</w:t>
            </w:r>
          </w:p>
        </w:tc>
        <w:tc>
          <w:tcPr>
            <w:tcW w:type="dxa" w:w="1800"/>
            <w:vAlign w:val="center"/>
            <w:tcMar>
              <w:top w:w="80" w:type="dxa"/>
              <w:left w:w="80" w:type="dxa"/>
              <w:bottom w:w="80" w:type="dxa"/>
              <w:right w:w="80" w:type="dxa"/>
            </w:tcMar>
          </w:tcPr>
          <w:p>
            <w:pPr>
              <w:jc w:val="center"/>
            </w:pPr>
            <w:r/>
            <w:r>
              <w:rPr>
                <w:rFonts w:ascii="Arial" w:hAnsi="Arial"/>
                <w:b w:val="0"/>
                <w:sz w:val="17"/>
              </w:rPr>
              <w:t>LineTerminal</w:t>
            </w:r>
          </w:p>
        </w:tc>
        <w:tc>
          <w:tcPr>
            <w:tcW w:type="dxa" w:w="1152"/>
            <w:vAlign w:val="center"/>
            <w:tcMar>
              <w:top w:w="80" w:type="dxa"/>
              <w:left w:w="80" w:type="dxa"/>
              <w:bottom w:w="80" w:type="dxa"/>
              <w:right w:w="80" w:type="dxa"/>
            </w:tcMar>
          </w:tcPr>
          <w:p>
            <w:pPr>
              <w:jc w:val="center"/>
            </w:pPr>
            <w:r/>
            <w:r>
              <w:rPr>
                <w:rFonts w:ascii="Arial" w:hAnsi="Arial"/>
                <w:b w:val="0"/>
                <w:sz w:val="17"/>
              </w:rPr>
              <w:t>+105</w:t>
            </w:r>
          </w:p>
        </w:tc>
        <w:tc>
          <w:tcPr>
            <w:tcW w:type="dxa" w:w="1800"/>
            <w:vAlign w:val="center"/>
            <w:tcMar>
              <w:top w:w="80" w:type="dxa"/>
              <w:left w:w="80" w:type="dxa"/>
              <w:bottom w:w="80" w:type="dxa"/>
              <w:right w:w="80" w:type="dxa"/>
            </w:tcMar>
          </w:tcPr>
          <w:p>
            <w:pPr>
              <w:jc w:val="center"/>
            </w:pPr>
            <w:r/>
            <w:r>
              <w:rPr>
                <w:rFonts w:ascii="Arial" w:hAnsi="Arial"/>
                <w:b w:val="0"/>
                <w:sz w:val="17"/>
              </w:rPr>
              <w:t>51.0% vs 48.8%</w:t>
            </w:r>
          </w:p>
        </w:tc>
        <w:tc>
          <w:tcPr>
            <w:tcW w:type="dxa" w:w="1152"/>
            <w:vAlign w:val="center"/>
            <w:tcMar>
              <w:top w:w="80" w:type="dxa"/>
              <w:left w:w="80" w:type="dxa"/>
              <w:bottom w:w="80" w:type="dxa"/>
              <w:right w:w="80" w:type="dxa"/>
            </w:tcMar>
          </w:tcPr>
          <w:p>
            <w:pPr>
              <w:jc w:val="center"/>
            </w:pPr>
            <w:r/>
            <w:r>
              <w:rPr>
                <w:rFonts w:ascii="Arial" w:hAnsi="Arial"/>
                <w:b w:val="0"/>
                <w:sz w:val="17"/>
              </w:rPr>
              <w:t>10.50 units</w:t>
            </w:r>
          </w:p>
        </w:tc>
      </w:tr>
      <w:tr>
        <w:tc>
          <w:tcPr>
            <w:tcW w:type="dxa" w:w="1152"/>
            <w:gridSpan w:val="6"/>
            <w:vAlign w:val="center"/>
            <w:shd w:fill="F2F2F2"/>
            <w:tcMar>
              <w:top w:w="80" w:type="dxa"/>
              <w:left w:w="80" w:type="dxa"/>
              <w:bottom w:w="80" w:type="dxa"/>
              <w:right w:w="80" w:type="dxa"/>
            </w:tcMar>
          </w:tcPr>
          <w:p>
            <w:pPr>
              <w:jc w:val="left"/>
            </w:pPr>
            <w:r/>
            <w:r>
              <w:rPr>
                <w:rFonts w:ascii="Arial" w:hAnsi="Arial"/>
                <w:b w:val="0"/>
                <w:sz w:val="17"/>
              </w:rPr>
              <w:t>Pre pick analysis: A modest plus-money position where the model rates Indianapolis slightly above a coin flip. Algorithm status: no immediate adjustment; grade after the final result and review closing-line value where available.</w:t>
            </w:r>
          </w:p>
        </w:tc>
      </w:tr>
    </w:tbl>
    <w:p>
      <w:pPr>
        <w:spacing w:after="40"/>
      </w:pPr>
    </w:p>
    <w:tbl>
      <w:tblPr>
        <w:tblStyle w:val="TableGrid"/>
        <w:tblW w:type="auto" w:w="0"/>
        <w:jc w:val="center"/>
        <w:tblLayout w:type="fixed"/>
        <w:tblLook w:firstColumn="1" w:firstRow="1" w:lastColumn="0" w:lastRow="0" w:noHBand="0" w:noVBand="1" w:val="04A0"/>
      </w:tblPr>
      <w:tblGrid>
        <w:gridCol w:w="1776"/>
        <w:gridCol w:w="1776"/>
        <w:gridCol w:w="1776"/>
        <w:gridCol w:w="1776"/>
        <w:gridCol w:w="1776"/>
        <w:gridCol w:w="1776"/>
      </w:tblGrid>
      <w:tr>
        <w:tc>
          <w:tcPr>
            <w:tcW w:type="dxa" w:w="2448"/>
            <w:vAlign w:val="center"/>
            <w:shd w:fill="D9EAF7"/>
            <w:tcMar>
              <w:top w:w="80" w:type="dxa"/>
              <w:left w:w="80" w:type="dxa"/>
              <w:bottom w:w="80" w:type="dxa"/>
              <w:right w:w="80" w:type="dxa"/>
            </w:tcMar>
          </w:tcPr>
          <w:p>
            <w:pPr>
              <w:jc w:val="left"/>
            </w:pPr>
            <w:r/>
            <w:r>
              <w:rPr>
                <w:rFonts w:ascii="Arial" w:hAnsi="Arial"/>
                <w:b/>
                <w:sz w:val="17"/>
              </w:rPr>
              <w:t>6. Seahawks Commanders under 40.5</w:t>
            </w:r>
          </w:p>
        </w:tc>
        <w:tc>
          <w:tcPr>
            <w:tcW w:type="dxa" w:w="1296"/>
            <w:vAlign w:val="center"/>
            <w:tcMar>
              <w:top w:w="80" w:type="dxa"/>
              <w:left w:w="80" w:type="dxa"/>
              <w:bottom w:w="80" w:type="dxa"/>
              <w:right w:w="80" w:type="dxa"/>
            </w:tcMar>
          </w:tcPr>
          <w:p>
            <w:pPr>
              <w:jc w:val="center"/>
            </w:pPr>
            <w:r/>
            <w:r>
              <w:rPr>
                <w:rFonts w:ascii="Arial" w:hAnsi="Arial"/>
                <w:b w:val="0"/>
                <w:sz w:val="17"/>
              </w:rPr>
              <w:t>1:00 PM</w:t>
            </w:r>
          </w:p>
        </w:tc>
        <w:tc>
          <w:tcPr>
            <w:tcW w:type="dxa" w:w="1800"/>
            <w:vAlign w:val="center"/>
            <w:tcMar>
              <w:top w:w="80" w:type="dxa"/>
              <w:left w:w="80" w:type="dxa"/>
              <w:bottom w:w="80" w:type="dxa"/>
              <w:right w:w="80" w:type="dxa"/>
            </w:tcMar>
          </w:tcPr>
          <w:p>
            <w:pPr>
              <w:jc w:val="center"/>
            </w:pPr>
            <w:r/>
            <w:r>
              <w:rPr>
                <w:rFonts w:ascii="Arial" w:hAnsi="Arial"/>
                <w:b w:val="0"/>
                <w:sz w:val="17"/>
              </w:rPr>
              <w:t>Consensus</w:t>
            </w:r>
          </w:p>
        </w:tc>
        <w:tc>
          <w:tcPr>
            <w:tcW w:type="dxa" w:w="1152"/>
            <w:vAlign w:val="center"/>
            <w:tcMar>
              <w:top w:w="80" w:type="dxa"/>
              <w:left w:w="80" w:type="dxa"/>
              <w:bottom w:w="80" w:type="dxa"/>
              <w:right w:w="80" w:type="dxa"/>
            </w:tcMar>
          </w:tcPr>
          <w:p>
            <w:pPr>
              <w:jc w:val="center"/>
            </w:pPr>
            <w:r/>
            <w:r>
              <w:rPr>
                <w:rFonts w:ascii="Arial" w:hAnsi="Arial"/>
                <w:b w:val="0"/>
                <w:sz w:val="17"/>
              </w:rPr>
              <w:t>-110</w:t>
            </w:r>
          </w:p>
        </w:tc>
        <w:tc>
          <w:tcPr>
            <w:tcW w:type="dxa" w:w="1800"/>
            <w:vAlign w:val="center"/>
            <w:tcMar>
              <w:top w:w="80" w:type="dxa"/>
              <w:left w:w="80" w:type="dxa"/>
              <w:bottom w:w="80" w:type="dxa"/>
              <w:right w:w="80" w:type="dxa"/>
            </w:tcMar>
          </w:tcPr>
          <w:p>
            <w:pPr>
              <w:jc w:val="center"/>
            </w:pPr>
            <w:r/>
            <w:r>
              <w:rPr>
                <w:rFonts w:ascii="Arial" w:hAnsi="Arial"/>
                <w:b w:val="0"/>
                <w:sz w:val="17"/>
              </w:rPr>
              <w:t>54.5% vs 52.4%</w:t>
            </w:r>
          </w:p>
        </w:tc>
        <w:tc>
          <w:tcPr>
            <w:tcW w:type="dxa" w:w="1152"/>
            <w:vAlign w:val="center"/>
            <w:tcMar>
              <w:top w:w="80" w:type="dxa"/>
              <w:left w:w="80" w:type="dxa"/>
              <w:bottom w:w="80" w:type="dxa"/>
              <w:right w:w="80" w:type="dxa"/>
            </w:tcMar>
          </w:tcPr>
          <w:p>
            <w:pPr>
              <w:jc w:val="center"/>
            </w:pPr>
            <w:r/>
            <w:r>
              <w:rPr>
                <w:rFonts w:ascii="Arial" w:hAnsi="Arial"/>
                <w:b w:val="0"/>
                <w:sz w:val="17"/>
              </w:rPr>
              <w:t>9.09 units</w:t>
            </w:r>
          </w:p>
        </w:tc>
      </w:tr>
      <w:tr>
        <w:tc>
          <w:tcPr>
            <w:tcW w:type="dxa" w:w="1152"/>
            <w:gridSpan w:val="6"/>
            <w:vAlign w:val="center"/>
            <w:shd w:fill="F2F2F2"/>
            <w:tcMar>
              <w:top w:w="80" w:type="dxa"/>
              <w:left w:w="80" w:type="dxa"/>
              <w:bottom w:w="80" w:type="dxa"/>
              <w:right w:w="80" w:type="dxa"/>
            </w:tcMar>
          </w:tcPr>
          <w:p>
            <w:pPr>
              <w:jc w:val="left"/>
            </w:pPr>
            <w:r/>
            <w:r>
              <w:rPr>
                <w:rFonts w:ascii="Arial" w:hAnsi="Arial"/>
                <w:b w:val="0"/>
                <w:sz w:val="17"/>
              </w:rPr>
              <w:t>Pre pick analysis: Both the pace and expected scoring profile support a lower-total game. Algorithm status: no immediate adjustment; grade after the final result and review closing-line value where available.</w:t>
            </w:r>
          </w:p>
        </w:tc>
      </w:tr>
    </w:tbl>
    <w:p>
      <w:pPr>
        <w:spacing w:after="40"/>
      </w:pPr>
    </w:p>
    <w:tbl>
      <w:tblPr>
        <w:tblStyle w:val="TableGrid"/>
        <w:tblW w:type="auto" w:w="0"/>
        <w:jc w:val="center"/>
        <w:tblLayout w:type="fixed"/>
        <w:tblLook w:firstColumn="1" w:firstRow="1" w:lastColumn="0" w:lastRow="0" w:noHBand="0" w:noVBand="1" w:val="04A0"/>
      </w:tblPr>
      <w:tblGrid>
        <w:gridCol w:w="1776"/>
        <w:gridCol w:w="1776"/>
        <w:gridCol w:w="1776"/>
        <w:gridCol w:w="1776"/>
        <w:gridCol w:w="1776"/>
        <w:gridCol w:w="1776"/>
      </w:tblGrid>
      <w:tr>
        <w:tc>
          <w:tcPr>
            <w:tcW w:type="dxa" w:w="2448"/>
            <w:vAlign w:val="center"/>
            <w:shd w:fill="D9EAF7"/>
            <w:tcMar>
              <w:top w:w="80" w:type="dxa"/>
              <w:left w:w="80" w:type="dxa"/>
              <w:bottom w:w="80" w:type="dxa"/>
              <w:right w:w="80" w:type="dxa"/>
            </w:tcMar>
          </w:tcPr>
          <w:p>
            <w:pPr>
              <w:jc w:val="left"/>
            </w:pPr>
            <w:r/>
            <w:r>
              <w:rPr>
                <w:rFonts w:ascii="Arial" w:hAnsi="Arial"/>
                <w:b/>
                <w:sz w:val="17"/>
              </w:rPr>
              <w:t>7. Buccaneers moneyline vs Vikings</w:t>
            </w:r>
          </w:p>
        </w:tc>
        <w:tc>
          <w:tcPr>
            <w:tcW w:type="dxa" w:w="1296"/>
            <w:vAlign w:val="center"/>
            <w:tcMar>
              <w:top w:w="80" w:type="dxa"/>
              <w:left w:w="80" w:type="dxa"/>
              <w:bottom w:w="80" w:type="dxa"/>
              <w:right w:w="80" w:type="dxa"/>
            </w:tcMar>
          </w:tcPr>
          <w:p>
            <w:pPr>
              <w:jc w:val="center"/>
            </w:pPr>
            <w:r/>
            <w:r>
              <w:rPr>
                <w:rFonts w:ascii="Arial" w:hAnsi="Arial"/>
                <w:b w:val="0"/>
                <w:sz w:val="17"/>
              </w:rPr>
              <w:t>4:05 PM</w:t>
            </w:r>
          </w:p>
        </w:tc>
        <w:tc>
          <w:tcPr>
            <w:tcW w:type="dxa" w:w="1800"/>
            <w:vAlign w:val="center"/>
            <w:tcMar>
              <w:top w:w="80" w:type="dxa"/>
              <w:left w:w="80" w:type="dxa"/>
              <w:bottom w:w="80" w:type="dxa"/>
              <w:right w:w="80" w:type="dxa"/>
            </w:tcMar>
          </w:tcPr>
          <w:p>
            <w:pPr>
              <w:jc w:val="center"/>
            </w:pPr>
            <w:r/>
            <w:r>
              <w:rPr>
                <w:rFonts w:ascii="Arial" w:hAnsi="Arial"/>
                <w:b w:val="0"/>
                <w:sz w:val="17"/>
              </w:rPr>
              <w:t>Market snapshot</w:t>
            </w:r>
          </w:p>
        </w:tc>
        <w:tc>
          <w:tcPr>
            <w:tcW w:type="dxa" w:w="1152"/>
            <w:vAlign w:val="center"/>
            <w:tcMar>
              <w:top w:w="80" w:type="dxa"/>
              <w:left w:w="80" w:type="dxa"/>
              <w:bottom w:w="80" w:type="dxa"/>
              <w:right w:w="80" w:type="dxa"/>
            </w:tcMar>
          </w:tcPr>
          <w:p>
            <w:pPr>
              <w:jc w:val="center"/>
            </w:pPr>
            <w:r/>
            <w:r>
              <w:rPr>
                <w:rFonts w:ascii="Arial" w:hAnsi="Arial"/>
                <w:b w:val="0"/>
                <w:sz w:val="17"/>
              </w:rPr>
              <w:t>+104</w:t>
            </w:r>
          </w:p>
        </w:tc>
        <w:tc>
          <w:tcPr>
            <w:tcW w:type="dxa" w:w="1800"/>
            <w:vAlign w:val="center"/>
            <w:tcMar>
              <w:top w:w="80" w:type="dxa"/>
              <w:left w:w="80" w:type="dxa"/>
              <w:bottom w:w="80" w:type="dxa"/>
              <w:right w:w="80" w:type="dxa"/>
            </w:tcMar>
          </w:tcPr>
          <w:p>
            <w:pPr>
              <w:jc w:val="center"/>
            </w:pPr>
            <w:r/>
            <w:r>
              <w:rPr>
                <w:rFonts w:ascii="Arial" w:hAnsi="Arial"/>
                <w:b w:val="0"/>
                <w:sz w:val="17"/>
              </w:rPr>
              <w:t>51.5% vs 49.0%</w:t>
            </w:r>
          </w:p>
        </w:tc>
        <w:tc>
          <w:tcPr>
            <w:tcW w:type="dxa" w:w="1152"/>
            <w:vAlign w:val="center"/>
            <w:tcMar>
              <w:top w:w="80" w:type="dxa"/>
              <w:left w:w="80" w:type="dxa"/>
              <w:bottom w:w="80" w:type="dxa"/>
              <w:right w:w="80" w:type="dxa"/>
            </w:tcMar>
          </w:tcPr>
          <w:p>
            <w:pPr>
              <w:jc w:val="center"/>
            </w:pPr>
            <w:r/>
            <w:r>
              <w:rPr>
                <w:rFonts w:ascii="Arial" w:hAnsi="Arial"/>
                <w:b w:val="0"/>
                <w:sz w:val="17"/>
              </w:rPr>
              <w:t>10.40 units</w:t>
            </w:r>
          </w:p>
        </w:tc>
      </w:tr>
      <w:tr>
        <w:tc>
          <w:tcPr>
            <w:tcW w:type="dxa" w:w="1152"/>
            <w:gridSpan w:val="6"/>
            <w:vAlign w:val="center"/>
            <w:shd w:fill="F2F2F2"/>
            <w:tcMar>
              <w:top w:w="80" w:type="dxa"/>
              <w:left w:w="80" w:type="dxa"/>
              <w:bottom w:w="80" w:type="dxa"/>
              <w:right w:w="80" w:type="dxa"/>
            </w:tcMar>
          </w:tcPr>
          <w:p>
            <w:pPr>
              <w:jc w:val="left"/>
            </w:pPr>
            <w:r/>
            <w:r>
              <w:rPr>
                <w:rFonts w:ascii="Arial" w:hAnsi="Arial"/>
                <w:b w:val="0"/>
                <w:sz w:val="17"/>
              </w:rPr>
              <w:t>Pre pick analysis: Home underdog value with a small estimated probability advantage; line movement is a risk. Algorithm status: no immediate adjustment; grade after the final result and review closing-line value where available.</w:t>
            </w:r>
          </w:p>
        </w:tc>
      </w:tr>
    </w:tbl>
    <w:p>
      <w:pPr>
        <w:spacing w:after="40"/>
      </w:pPr>
    </w:p>
    <w:tbl>
      <w:tblPr>
        <w:tblStyle w:val="TableGrid"/>
        <w:tblW w:type="auto" w:w="0"/>
        <w:jc w:val="center"/>
        <w:tblLayout w:type="fixed"/>
        <w:tblLook w:firstColumn="1" w:firstRow="1" w:lastColumn="0" w:lastRow="0" w:noHBand="0" w:noVBand="1" w:val="04A0"/>
      </w:tblPr>
      <w:tblGrid>
        <w:gridCol w:w="1776"/>
        <w:gridCol w:w="1776"/>
        <w:gridCol w:w="1776"/>
        <w:gridCol w:w="1776"/>
        <w:gridCol w:w="1776"/>
        <w:gridCol w:w="1776"/>
      </w:tblGrid>
      <w:tr>
        <w:tc>
          <w:tcPr>
            <w:tcW w:type="dxa" w:w="2448"/>
            <w:vAlign w:val="center"/>
            <w:shd w:fill="D9EAF7"/>
            <w:tcMar>
              <w:top w:w="80" w:type="dxa"/>
              <w:left w:w="80" w:type="dxa"/>
              <w:bottom w:w="80" w:type="dxa"/>
              <w:right w:w="80" w:type="dxa"/>
            </w:tcMar>
          </w:tcPr>
          <w:p>
            <w:pPr>
              <w:jc w:val="left"/>
            </w:pPr>
            <w:r/>
            <w:r>
              <w:rPr>
                <w:rFonts w:ascii="Arial" w:hAnsi="Arial"/>
                <w:b/>
                <w:sz w:val="17"/>
              </w:rPr>
              <w:t>8. Cowboys +3.5 vs Ravens</w:t>
            </w:r>
          </w:p>
        </w:tc>
        <w:tc>
          <w:tcPr>
            <w:tcW w:type="dxa" w:w="1296"/>
            <w:vAlign w:val="center"/>
            <w:tcMar>
              <w:top w:w="80" w:type="dxa"/>
              <w:left w:w="80" w:type="dxa"/>
              <w:bottom w:w="80" w:type="dxa"/>
              <w:right w:w="80" w:type="dxa"/>
            </w:tcMar>
          </w:tcPr>
          <w:p>
            <w:pPr>
              <w:jc w:val="center"/>
            </w:pPr>
            <w:r/>
            <w:r>
              <w:rPr>
                <w:rFonts w:ascii="Arial" w:hAnsi="Arial"/>
                <w:b w:val="0"/>
                <w:sz w:val="17"/>
              </w:rPr>
              <w:t>4:25 PM</w:t>
            </w:r>
          </w:p>
        </w:tc>
        <w:tc>
          <w:tcPr>
            <w:tcW w:type="dxa" w:w="1800"/>
            <w:vAlign w:val="center"/>
            <w:tcMar>
              <w:top w:w="80" w:type="dxa"/>
              <w:left w:w="80" w:type="dxa"/>
              <w:bottom w:w="80" w:type="dxa"/>
              <w:right w:w="80" w:type="dxa"/>
            </w:tcMar>
          </w:tcPr>
          <w:p>
            <w:pPr>
              <w:jc w:val="center"/>
            </w:pPr>
            <w:r/>
            <w:r>
              <w:rPr>
                <w:rFonts w:ascii="Arial" w:hAnsi="Arial"/>
                <w:b w:val="0"/>
                <w:sz w:val="17"/>
              </w:rPr>
              <w:t>Consensus</w:t>
            </w:r>
          </w:p>
        </w:tc>
        <w:tc>
          <w:tcPr>
            <w:tcW w:type="dxa" w:w="1152"/>
            <w:vAlign w:val="center"/>
            <w:tcMar>
              <w:top w:w="80" w:type="dxa"/>
              <w:left w:w="80" w:type="dxa"/>
              <w:bottom w:w="80" w:type="dxa"/>
              <w:right w:w="80" w:type="dxa"/>
            </w:tcMar>
          </w:tcPr>
          <w:p>
            <w:pPr>
              <w:jc w:val="center"/>
            </w:pPr>
            <w:r/>
            <w:r>
              <w:rPr>
                <w:rFonts w:ascii="Arial" w:hAnsi="Arial"/>
                <w:b w:val="0"/>
                <w:sz w:val="17"/>
              </w:rPr>
              <w:t>-110</w:t>
            </w:r>
          </w:p>
        </w:tc>
        <w:tc>
          <w:tcPr>
            <w:tcW w:type="dxa" w:w="1800"/>
            <w:vAlign w:val="center"/>
            <w:tcMar>
              <w:top w:w="80" w:type="dxa"/>
              <w:left w:w="80" w:type="dxa"/>
              <w:bottom w:w="80" w:type="dxa"/>
              <w:right w:w="80" w:type="dxa"/>
            </w:tcMar>
          </w:tcPr>
          <w:p>
            <w:pPr>
              <w:jc w:val="center"/>
            </w:pPr>
            <w:r/>
            <w:r>
              <w:rPr>
                <w:rFonts w:ascii="Arial" w:hAnsi="Arial"/>
                <w:b w:val="0"/>
                <w:sz w:val="17"/>
              </w:rPr>
              <w:t>54.0% vs 52.4%</w:t>
            </w:r>
          </w:p>
        </w:tc>
        <w:tc>
          <w:tcPr>
            <w:tcW w:type="dxa" w:w="1152"/>
            <w:vAlign w:val="center"/>
            <w:tcMar>
              <w:top w:w="80" w:type="dxa"/>
              <w:left w:w="80" w:type="dxa"/>
              <w:bottom w:w="80" w:type="dxa"/>
              <w:right w:w="80" w:type="dxa"/>
            </w:tcMar>
          </w:tcPr>
          <w:p>
            <w:pPr>
              <w:jc w:val="center"/>
            </w:pPr>
            <w:r/>
            <w:r>
              <w:rPr>
                <w:rFonts w:ascii="Arial" w:hAnsi="Arial"/>
                <w:b w:val="0"/>
                <w:sz w:val="17"/>
              </w:rPr>
              <w:t>9.09 units</w:t>
            </w:r>
          </w:p>
        </w:tc>
      </w:tr>
      <w:tr>
        <w:tc>
          <w:tcPr>
            <w:tcW w:type="dxa" w:w="1152"/>
            <w:gridSpan w:val="6"/>
            <w:vAlign w:val="center"/>
            <w:shd w:fill="F2F2F2"/>
            <w:tcMar>
              <w:top w:w="80" w:type="dxa"/>
              <w:left w:w="80" w:type="dxa"/>
              <w:bottom w:w="80" w:type="dxa"/>
              <w:right w:w="80" w:type="dxa"/>
            </w:tcMar>
          </w:tcPr>
          <w:p>
            <w:pPr>
              <w:jc w:val="left"/>
            </w:pPr>
            <w:r/>
            <w:r>
              <w:rPr>
                <w:rFonts w:ascii="Arial" w:hAnsi="Arial"/>
                <w:b w:val="0"/>
                <w:sz w:val="17"/>
              </w:rPr>
              <w:t>Pre pick analysis: The extra half-point above a field goal improves protection in a competitive matchup. Algorithm status: no immediate adjustment; grade after the final result and review closing-line value where available.</w:t>
            </w:r>
          </w:p>
        </w:tc>
      </w:tr>
    </w:tbl>
    <w:p>
      <w:pPr>
        <w:spacing w:after="40"/>
      </w:pPr>
    </w:p>
    <w:tbl>
      <w:tblPr>
        <w:tblStyle w:val="TableGrid"/>
        <w:tblW w:type="auto" w:w="0"/>
        <w:jc w:val="center"/>
        <w:tblLayout w:type="fixed"/>
        <w:tblLook w:firstColumn="1" w:firstRow="1" w:lastColumn="0" w:lastRow="0" w:noHBand="0" w:noVBand="1" w:val="04A0"/>
      </w:tblPr>
      <w:tblGrid>
        <w:gridCol w:w="1776"/>
        <w:gridCol w:w="1776"/>
        <w:gridCol w:w="1776"/>
        <w:gridCol w:w="1776"/>
        <w:gridCol w:w="1776"/>
        <w:gridCol w:w="1776"/>
      </w:tblGrid>
      <w:tr>
        <w:tc>
          <w:tcPr>
            <w:tcW w:type="dxa" w:w="2448"/>
            <w:vAlign w:val="center"/>
            <w:shd w:fill="D9EAF7"/>
            <w:tcMar>
              <w:top w:w="80" w:type="dxa"/>
              <w:left w:w="80" w:type="dxa"/>
              <w:bottom w:w="80" w:type="dxa"/>
              <w:right w:w="80" w:type="dxa"/>
            </w:tcMar>
          </w:tcPr>
          <w:p>
            <w:pPr>
              <w:jc w:val="left"/>
            </w:pPr>
            <w:r/>
            <w:r>
              <w:rPr>
                <w:rFonts w:ascii="Arial" w:hAnsi="Arial"/>
                <w:b/>
                <w:sz w:val="17"/>
              </w:rPr>
              <w:t>9. Raiders +3 vs Saints</w:t>
            </w:r>
          </w:p>
        </w:tc>
        <w:tc>
          <w:tcPr>
            <w:tcW w:type="dxa" w:w="1296"/>
            <w:vAlign w:val="center"/>
            <w:tcMar>
              <w:top w:w="80" w:type="dxa"/>
              <w:left w:w="80" w:type="dxa"/>
              <w:bottom w:w="80" w:type="dxa"/>
              <w:right w:w="80" w:type="dxa"/>
            </w:tcMar>
          </w:tcPr>
          <w:p>
            <w:pPr>
              <w:jc w:val="center"/>
            </w:pPr>
            <w:r/>
            <w:r>
              <w:rPr>
                <w:rFonts w:ascii="Arial" w:hAnsi="Arial"/>
                <w:b w:val="0"/>
                <w:sz w:val="17"/>
              </w:rPr>
              <w:t>4:25 PM</w:t>
            </w:r>
          </w:p>
        </w:tc>
        <w:tc>
          <w:tcPr>
            <w:tcW w:type="dxa" w:w="1800"/>
            <w:vAlign w:val="center"/>
            <w:tcMar>
              <w:top w:w="80" w:type="dxa"/>
              <w:left w:w="80" w:type="dxa"/>
              <w:bottom w:w="80" w:type="dxa"/>
              <w:right w:w="80" w:type="dxa"/>
            </w:tcMar>
          </w:tcPr>
          <w:p>
            <w:pPr>
              <w:jc w:val="center"/>
            </w:pPr>
            <w:r/>
            <w:r>
              <w:rPr>
                <w:rFonts w:ascii="Arial" w:hAnsi="Arial"/>
                <w:b w:val="0"/>
                <w:sz w:val="17"/>
              </w:rPr>
              <w:t>DraftKings</w:t>
            </w:r>
          </w:p>
        </w:tc>
        <w:tc>
          <w:tcPr>
            <w:tcW w:type="dxa" w:w="1152"/>
            <w:vAlign w:val="center"/>
            <w:tcMar>
              <w:top w:w="80" w:type="dxa"/>
              <w:left w:w="80" w:type="dxa"/>
              <w:bottom w:w="80" w:type="dxa"/>
              <w:right w:w="80" w:type="dxa"/>
            </w:tcMar>
          </w:tcPr>
          <w:p>
            <w:pPr>
              <w:jc w:val="center"/>
            </w:pPr>
            <w:r/>
            <w:r>
              <w:rPr>
                <w:rFonts w:ascii="Arial" w:hAnsi="Arial"/>
                <w:b w:val="0"/>
                <w:sz w:val="17"/>
              </w:rPr>
              <w:t>+102</w:t>
            </w:r>
          </w:p>
        </w:tc>
        <w:tc>
          <w:tcPr>
            <w:tcW w:type="dxa" w:w="1800"/>
            <w:vAlign w:val="center"/>
            <w:tcMar>
              <w:top w:w="80" w:type="dxa"/>
              <w:left w:w="80" w:type="dxa"/>
              <w:bottom w:w="80" w:type="dxa"/>
              <w:right w:w="80" w:type="dxa"/>
            </w:tcMar>
          </w:tcPr>
          <w:p>
            <w:pPr>
              <w:jc w:val="center"/>
            </w:pPr>
            <w:r/>
            <w:r>
              <w:rPr>
                <w:rFonts w:ascii="Arial" w:hAnsi="Arial"/>
                <w:b w:val="0"/>
                <w:sz w:val="17"/>
              </w:rPr>
              <w:t>53.0% vs 49.5%</w:t>
            </w:r>
          </w:p>
        </w:tc>
        <w:tc>
          <w:tcPr>
            <w:tcW w:type="dxa" w:w="1152"/>
            <w:vAlign w:val="center"/>
            <w:tcMar>
              <w:top w:w="80" w:type="dxa"/>
              <w:left w:w="80" w:type="dxa"/>
              <w:bottom w:w="80" w:type="dxa"/>
              <w:right w:w="80" w:type="dxa"/>
            </w:tcMar>
          </w:tcPr>
          <w:p>
            <w:pPr>
              <w:jc w:val="center"/>
            </w:pPr>
            <w:r/>
            <w:r>
              <w:rPr>
                <w:rFonts w:ascii="Arial" w:hAnsi="Arial"/>
                <w:b w:val="0"/>
                <w:sz w:val="17"/>
              </w:rPr>
              <w:t>10.20 units</w:t>
            </w:r>
          </w:p>
        </w:tc>
      </w:tr>
      <w:tr>
        <w:tc>
          <w:tcPr>
            <w:tcW w:type="dxa" w:w="1152"/>
            <w:gridSpan w:val="6"/>
            <w:vAlign w:val="center"/>
            <w:shd w:fill="F2F2F2"/>
            <w:tcMar>
              <w:top w:w="80" w:type="dxa"/>
              <w:left w:w="80" w:type="dxa"/>
              <w:bottom w:w="80" w:type="dxa"/>
              <w:right w:w="80" w:type="dxa"/>
            </w:tcMar>
          </w:tcPr>
          <w:p>
            <w:pPr>
              <w:jc w:val="left"/>
            </w:pPr>
            <w:r/>
            <w:r>
              <w:rPr>
                <w:rFonts w:ascii="Arial" w:hAnsi="Arial"/>
                <w:b w:val="0"/>
                <w:sz w:val="17"/>
              </w:rPr>
              <w:t>Pre pick analysis: Points plus a positive price create the card's strongest modeled edge. Algorithm status: no immediate adjustment; grade after the final result and review closing-line value where available.</w:t>
            </w:r>
          </w:p>
        </w:tc>
      </w:tr>
    </w:tbl>
    <w:p>
      <w:pPr>
        <w:spacing w:after="40"/>
      </w:pPr>
    </w:p>
    <w:tbl>
      <w:tblPr>
        <w:tblStyle w:val="TableGrid"/>
        <w:tblW w:type="auto" w:w="0"/>
        <w:jc w:val="center"/>
        <w:tblLayout w:type="fixed"/>
        <w:tblLook w:firstColumn="1" w:firstRow="1" w:lastColumn="0" w:lastRow="0" w:noHBand="0" w:noVBand="1" w:val="04A0"/>
      </w:tblPr>
      <w:tblGrid>
        <w:gridCol w:w="1776"/>
        <w:gridCol w:w="1776"/>
        <w:gridCol w:w="1776"/>
        <w:gridCol w:w="1776"/>
        <w:gridCol w:w="1776"/>
        <w:gridCol w:w="1776"/>
      </w:tblGrid>
      <w:tr>
        <w:tc>
          <w:tcPr>
            <w:tcW w:type="dxa" w:w="2448"/>
            <w:vAlign w:val="center"/>
            <w:shd w:fill="D9EAF7"/>
            <w:tcMar>
              <w:top w:w="80" w:type="dxa"/>
              <w:left w:w="80" w:type="dxa"/>
              <w:bottom w:w="80" w:type="dxa"/>
              <w:right w:w="80" w:type="dxa"/>
            </w:tcMar>
          </w:tcPr>
          <w:p>
            <w:pPr>
              <w:jc w:val="left"/>
            </w:pPr>
            <w:r/>
            <w:r>
              <w:rPr>
                <w:rFonts w:ascii="Arial" w:hAnsi="Arial"/>
                <w:b/>
                <w:sz w:val="17"/>
              </w:rPr>
              <w:t>10. Broncos moneyline vs Rams</w:t>
            </w:r>
          </w:p>
        </w:tc>
        <w:tc>
          <w:tcPr>
            <w:tcW w:type="dxa" w:w="1296"/>
            <w:vAlign w:val="center"/>
            <w:tcMar>
              <w:top w:w="80" w:type="dxa"/>
              <w:left w:w="80" w:type="dxa"/>
              <w:bottom w:w="80" w:type="dxa"/>
              <w:right w:w="80" w:type="dxa"/>
            </w:tcMar>
          </w:tcPr>
          <w:p>
            <w:pPr>
              <w:jc w:val="center"/>
            </w:pPr>
            <w:r/>
            <w:r>
              <w:rPr>
                <w:rFonts w:ascii="Arial" w:hAnsi="Arial"/>
                <w:b w:val="0"/>
                <w:sz w:val="17"/>
              </w:rPr>
              <w:t>8:20 PM</w:t>
            </w:r>
          </w:p>
        </w:tc>
        <w:tc>
          <w:tcPr>
            <w:tcW w:type="dxa" w:w="1800"/>
            <w:vAlign w:val="center"/>
            <w:tcMar>
              <w:top w:w="80" w:type="dxa"/>
              <w:left w:w="80" w:type="dxa"/>
              <w:bottom w:w="80" w:type="dxa"/>
              <w:right w:w="80" w:type="dxa"/>
            </w:tcMar>
          </w:tcPr>
          <w:p>
            <w:pPr>
              <w:jc w:val="center"/>
            </w:pPr>
            <w:r/>
            <w:r>
              <w:rPr>
                <w:rFonts w:ascii="Arial" w:hAnsi="Arial"/>
                <w:b w:val="0"/>
                <w:sz w:val="17"/>
              </w:rPr>
              <w:t>CBS</w:t>
            </w:r>
          </w:p>
        </w:tc>
        <w:tc>
          <w:tcPr>
            <w:tcW w:type="dxa" w:w="1152"/>
            <w:vAlign w:val="center"/>
            <w:tcMar>
              <w:top w:w="80" w:type="dxa"/>
              <w:left w:w="80" w:type="dxa"/>
              <w:bottom w:w="80" w:type="dxa"/>
              <w:right w:w="80" w:type="dxa"/>
            </w:tcMar>
          </w:tcPr>
          <w:p>
            <w:pPr>
              <w:jc w:val="center"/>
            </w:pPr>
            <w:r/>
            <w:r>
              <w:rPr>
                <w:rFonts w:ascii="Arial" w:hAnsi="Arial"/>
                <w:b w:val="0"/>
                <w:sz w:val="17"/>
              </w:rPr>
              <w:t>+111</w:t>
            </w:r>
          </w:p>
        </w:tc>
        <w:tc>
          <w:tcPr>
            <w:tcW w:type="dxa" w:w="1800"/>
            <w:vAlign w:val="center"/>
            <w:tcMar>
              <w:top w:w="80" w:type="dxa"/>
              <w:left w:w="80" w:type="dxa"/>
              <w:bottom w:w="80" w:type="dxa"/>
              <w:right w:w="80" w:type="dxa"/>
            </w:tcMar>
          </w:tcPr>
          <w:p>
            <w:pPr>
              <w:jc w:val="center"/>
            </w:pPr>
            <w:r/>
            <w:r>
              <w:rPr>
                <w:rFonts w:ascii="Arial" w:hAnsi="Arial"/>
                <w:b w:val="0"/>
                <w:sz w:val="17"/>
              </w:rPr>
              <w:t>49.5% vs 47.4%</w:t>
            </w:r>
          </w:p>
        </w:tc>
        <w:tc>
          <w:tcPr>
            <w:tcW w:type="dxa" w:w="1152"/>
            <w:vAlign w:val="center"/>
            <w:tcMar>
              <w:top w:w="80" w:type="dxa"/>
              <w:left w:w="80" w:type="dxa"/>
              <w:bottom w:w="80" w:type="dxa"/>
              <w:right w:w="80" w:type="dxa"/>
            </w:tcMar>
          </w:tcPr>
          <w:p>
            <w:pPr>
              <w:jc w:val="center"/>
            </w:pPr>
            <w:r/>
            <w:r>
              <w:rPr>
                <w:rFonts w:ascii="Arial" w:hAnsi="Arial"/>
                <w:b w:val="0"/>
                <w:sz w:val="17"/>
              </w:rPr>
              <w:t>11.10 units</w:t>
            </w:r>
          </w:p>
        </w:tc>
      </w:tr>
      <w:tr>
        <w:tc>
          <w:tcPr>
            <w:tcW w:type="dxa" w:w="1152"/>
            <w:gridSpan w:val="6"/>
            <w:vAlign w:val="center"/>
            <w:shd w:fill="F2F2F2"/>
            <w:tcMar>
              <w:top w:w="80" w:type="dxa"/>
              <w:left w:w="80" w:type="dxa"/>
              <w:bottom w:w="80" w:type="dxa"/>
              <w:right w:w="80" w:type="dxa"/>
            </w:tcMar>
          </w:tcPr>
          <w:p>
            <w:pPr>
              <w:jc w:val="left"/>
            </w:pPr>
            <w:r/>
            <w:r>
              <w:rPr>
                <w:rFonts w:ascii="Arial" w:hAnsi="Arial"/>
                <w:b w:val="0"/>
                <w:sz w:val="17"/>
              </w:rPr>
              <w:t>Pre pick analysis: Home plus-money value, but with greater market uncertainty than the spread selections. Algorithm status: no immediate adjustment; grade after the final result and review closing-line value where available.</w:t>
            </w:r>
          </w:p>
        </w:tc>
      </w:tr>
    </w:tbl>
    <w:p>
      <w:pPr>
        <w:spacing w:after="40"/>
      </w:pPr>
    </w:p>
    <w:p>
      <w:pPr>
        <w:pStyle w:val="Heading1"/>
      </w:pPr>
      <w:r>
        <w:t>Algorithm Review Rules</w:t>
      </w:r>
    </w:p>
    <w:p>
      <w:pPr>
        <w:pStyle w:val="ListBullet"/>
      </w:pPr>
      <w:r>
        <w:t>Classify every result as a good or bad decision independently of whether it won.</w:t>
      </w:r>
    </w:p>
    <w:p>
      <w:pPr>
        <w:pStyle w:val="ListBullet"/>
      </w:pPr>
      <w:r>
        <w:t>Treat ordinary variance, bad price, flawed probability, injury or news, matchup error, correlation and market movement as separate causes.</w:t>
      </w:r>
    </w:p>
    <w:p>
      <w:pPr>
        <w:pStyle w:val="ListBullet"/>
      </w:pPr>
      <w:r>
        <w:t>Do not change weights from one result. Require repeated evidence, meaningful sample size, or confirmation in the 10-day trend.</w:t>
      </w:r>
    </w:p>
    <w:p>
      <w:pPr>
        <w:pStyle w:val="ListBullet"/>
      </w:pPr>
      <w:r>
        <w:t>Record every approved change with a strategy version and effective date so before-and-after results remain auditable.</w:t>
      </w:r>
    </w:p>
    <w:p>
      <w:r>
        <w:t>Paper-betting experiment only. Past results and estimated edges do not guarantee future profit.</w:t>
      </w:r>
    </w:p>
    <w:sectPr w:rsidR="00FC693F" w:rsidRPr="0006063C" w:rsidSect="00034616">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